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03" w:rsidRPr="00765843" w:rsidRDefault="001F7C03" w:rsidP="001F7C03">
      <w:pPr>
        <w:spacing w:before="100" w:after="100"/>
        <w:jc w:val="center"/>
        <w:rPr>
          <w:sz w:val="28"/>
          <w:szCs w:val="28"/>
        </w:rPr>
      </w:pPr>
      <w:r w:rsidRPr="00765843">
        <w:rPr>
          <w:b/>
          <w:sz w:val="28"/>
          <w:szCs w:val="28"/>
        </w:rPr>
        <w:t>Water, Sanitation and Hygiene</w:t>
      </w:r>
      <w:r w:rsidRPr="00765843">
        <w:rPr>
          <w:b/>
          <w:sz w:val="28"/>
          <w:szCs w:val="28"/>
        </w:rPr>
        <w:br/>
        <w:t>Global Programs and Cross–Regional Support</w:t>
      </w:r>
    </w:p>
    <w:p w:rsidR="001F7C03" w:rsidRPr="00765843" w:rsidRDefault="001F7C03" w:rsidP="001F7C03">
      <w:pPr>
        <w:spacing w:before="100" w:after="100"/>
        <w:jc w:val="center"/>
        <w:rPr>
          <w:b/>
          <w:sz w:val="28"/>
          <w:szCs w:val="28"/>
        </w:rPr>
      </w:pPr>
      <w:r w:rsidRPr="00765843">
        <w:rPr>
          <w:b/>
          <w:sz w:val="28"/>
          <w:szCs w:val="28"/>
        </w:rPr>
        <w:t>CONCEPT NOTE</w:t>
      </w:r>
    </w:p>
    <w:p w:rsidR="001F7C03" w:rsidRDefault="001F7C03" w:rsidP="00765843">
      <w:pPr>
        <w:spacing w:before="120" w:after="120"/>
        <w:rPr>
          <w:b/>
        </w:rPr>
      </w:pPr>
      <w:r w:rsidRPr="001F7C03">
        <w:rPr>
          <w:b/>
        </w:rPr>
        <w:t>Executive Summary</w:t>
      </w:r>
    </w:p>
    <w:p w:rsidR="00AA51DF" w:rsidRDefault="00AA51DF" w:rsidP="00127717">
      <w:pPr>
        <w:spacing w:before="120" w:after="120"/>
        <w:ind w:right="-241"/>
      </w:pPr>
      <w:r w:rsidRPr="00F74897">
        <w:rPr>
          <w:color w:val="000000" w:themeColor="text1"/>
        </w:rPr>
        <w:t>Access to safe water and basic sanitation, combined with good hygiene behaviours, contributes significantly to i</w:t>
      </w:r>
      <w:r w:rsidR="009A66A6">
        <w:rPr>
          <w:color w:val="000000" w:themeColor="text1"/>
        </w:rPr>
        <w:t xml:space="preserve">mproving public health outcomes. The importance of water, sanitation and hygiene (WASH) has been acknowledged through a specific </w:t>
      </w:r>
      <w:r w:rsidR="009A66A6" w:rsidRPr="00765843">
        <w:t>Millennium Development Goal (MDG)</w:t>
      </w:r>
      <w:r w:rsidR="009A66A6">
        <w:t xml:space="preserve"> target –</w:t>
      </w:r>
      <w:r w:rsidR="009A66A6" w:rsidRPr="00765843">
        <w:t xml:space="preserve"> </w:t>
      </w:r>
      <w:r w:rsidR="009A66A6">
        <w:t>“h</w:t>
      </w:r>
      <w:r w:rsidR="009A66A6" w:rsidRPr="00590728">
        <w:t>alve, by 2015, the proportion of people without sustainable access to safe drin</w:t>
      </w:r>
      <w:r w:rsidR="009A66A6">
        <w:t>king water and basic sanitation”</w:t>
      </w:r>
      <w:r w:rsidR="009A66A6" w:rsidRPr="00765843">
        <w:t>.</w:t>
      </w:r>
      <w:r w:rsidR="009E78B9">
        <w:rPr>
          <w:rStyle w:val="EndnoteReference"/>
        </w:rPr>
        <w:endnoteReference w:id="1"/>
      </w:r>
      <w:r w:rsidR="009A66A6">
        <w:rPr>
          <w:color w:val="000000" w:themeColor="text1"/>
        </w:rPr>
        <w:t xml:space="preserve"> </w:t>
      </w:r>
      <w:r w:rsidR="00CB511F">
        <w:rPr>
          <w:color w:val="000000" w:themeColor="text1"/>
        </w:rPr>
        <w:t>P</w:t>
      </w:r>
      <w:r>
        <w:rPr>
          <w:color w:val="000000" w:themeColor="text1"/>
        </w:rPr>
        <w:t xml:space="preserve">rogress towards universal achievement of this </w:t>
      </w:r>
      <w:r w:rsidR="00CB511F">
        <w:rPr>
          <w:color w:val="000000" w:themeColor="text1"/>
        </w:rPr>
        <w:t xml:space="preserve">MDG target however </w:t>
      </w:r>
      <w:r>
        <w:rPr>
          <w:color w:val="000000" w:themeColor="text1"/>
        </w:rPr>
        <w:t xml:space="preserve">remains poor. </w:t>
      </w:r>
      <w:r>
        <w:t>A</w:t>
      </w:r>
      <w:r w:rsidRPr="001757F5">
        <w:t xml:space="preserve">lmost 900 million people in the world do not have access to safe drinking water. The situation concerning access to </w:t>
      </w:r>
      <w:r>
        <w:t xml:space="preserve">basic sanitation is even worse </w:t>
      </w:r>
      <w:r w:rsidRPr="001757F5">
        <w:t>with 2.6 billion people not using basic sanitation facilities.</w:t>
      </w:r>
    </w:p>
    <w:p w:rsidR="009A5E5B" w:rsidRDefault="00AA51DF" w:rsidP="00127717">
      <w:pPr>
        <w:spacing w:before="120" w:after="120"/>
        <w:ind w:right="-241"/>
      </w:pPr>
      <w:r>
        <w:t>The Australian Government recognise</w:t>
      </w:r>
      <w:r w:rsidR="00CB511F">
        <w:t>s</w:t>
      </w:r>
      <w:r>
        <w:t xml:space="preserve"> that </w:t>
      </w:r>
      <w:r w:rsidR="00F646D9">
        <w:t xml:space="preserve">WASH </w:t>
      </w:r>
      <w:r w:rsidR="000557F3">
        <w:t>i</w:t>
      </w:r>
      <w:r>
        <w:t xml:space="preserve">s a priority sector for investment through </w:t>
      </w:r>
      <w:r w:rsidR="00E94CC4">
        <w:t>the</w:t>
      </w:r>
      <w:r w:rsidR="00CB511F">
        <w:t xml:space="preserve"> policy </w:t>
      </w:r>
      <w:r>
        <w:t>framework for the Australian aid program</w:t>
      </w:r>
      <w:r w:rsidR="00F646D9">
        <w:t xml:space="preserve">, which </w:t>
      </w:r>
      <w:r w:rsidR="00CC0087">
        <w:t xml:space="preserve">identifies </w:t>
      </w:r>
      <w:r w:rsidR="00F646D9">
        <w:t>“</w:t>
      </w:r>
      <w:r w:rsidR="00CB511F">
        <w:t>i</w:t>
      </w:r>
      <w:r w:rsidR="00F646D9" w:rsidRPr="00F646D9">
        <w:t>mproving public health by increasing access to safe water and sanitation</w:t>
      </w:r>
      <w:r w:rsidR="00F646D9">
        <w:rPr>
          <w:i/>
        </w:rPr>
        <w:t>”</w:t>
      </w:r>
      <w:r w:rsidR="00F646D9">
        <w:t xml:space="preserve"> </w:t>
      </w:r>
      <w:r w:rsidR="00CB511F">
        <w:t xml:space="preserve">as a key development objective </w:t>
      </w:r>
      <w:r w:rsidR="00F646D9">
        <w:t>under the strategic goal of “</w:t>
      </w:r>
      <w:r w:rsidR="00CB511F">
        <w:t>s</w:t>
      </w:r>
      <w:r w:rsidR="00F646D9" w:rsidRPr="00F646D9">
        <w:t>aving lives</w:t>
      </w:r>
      <w:r w:rsidR="00F646D9">
        <w:rPr>
          <w:i/>
        </w:rPr>
        <w:t>”</w:t>
      </w:r>
      <w:r w:rsidR="00F646D9">
        <w:t>.</w:t>
      </w:r>
      <w:r>
        <w:t xml:space="preserve"> </w:t>
      </w:r>
      <w:r w:rsidR="00CB511F">
        <w:t>In support of this strategic goal, t</w:t>
      </w:r>
      <w:r>
        <w:t xml:space="preserve">he Government has </w:t>
      </w:r>
      <w:r w:rsidR="000557F3">
        <w:t>increased its funding to the sector through</w:t>
      </w:r>
      <w:r w:rsidR="009A66A6">
        <w:t xml:space="preserve"> </w:t>
      </w:r>
      <w:r w:rsidR="000557F3">
        <w:t>a</w:t>
      </w:r>
      <w:r w:rsidR="009A5E5B" w:rsidRPr="001757F5">
        <w:t xml:space="preserve"> $4</w:t>
      </w:r>
      <w:r w:rsidR="00C56354">
        <w:t xml:space="preserve">33.1 million </w:t>
      </w:r>
      <w:r w:rsidR="000557F3">
        <w:t>Budget Measure in 2011</w:t>
      </w:r>
      <w:r w:rsidR="00CB511F">
        <w:noBreakHyphen/>
      </w:r>
      <w:r w:rsidR="000557F3">
        <w:t>12</w:t>
      </w:r>
      <w:r w:rsidR="00C56354">
        <w:t>.  This funding</w:t>
      </w:r>
      <w:r w:rsidR="00404483">
        <w:t>,</w:t>
      </w:r>
      <w:r w:rsidR="00C56354">
        <w:t xml:space="preserve"> when combined with</w:t>
      </w:r>
      <w:r w:rsidR="00F74897">
        <w:t xml:space="preserve"> existing sources</w:t>
      </w:r>
      <w:r w:rsidR="00404483">
        <w:t>,</w:t>
      </w:r>
      <w:r w:rsidR="00F74897">
        <w:t xml:space="preserve"> means that </w:t>
      </w:r>
      <w:r w:rsidR="00C56354">
        <w:t xml:space="preserve">a </w:t>
      </w:r>
      <w:r w:rsidR="009A5E5B" w:rsidRPr="001757F5">
        <w:t>total of aroun</w:t>
      </w:r>
      <w:r w:rsidR="009A5E5B">
        <w:t xml:space="preserve">d $1 billion </w:t>
      </w:r>
      <w:r w:rsidR="002C275E">
        <w:t>will be invested in the sector over</w:t>
      </w:r>
      <w:r w:rsidR="009A5E5B">
        <w:t xml:space="preserve"> 2011</w:t>
      </w:r>
      <w:r w:rsidR="009A5E5B">
        <w:noBreakHyphen/>
        <w:t>12 to 2015–</w:t>
      </w:r>
      <w:r w:rsidR="009A5E5B" w:rsidRPr="001757F5">
        <w:t>16</w:t>
      </w:r>
      <w:r w:rsidR="009A5E5B">
        <w:t>.</w:t>
      </w:r>
      <w:r w:rsidR="00F74897">
        <w:t xml:space="preserve">  </w:t>
      </w:r>
    </w:p>
    <w:p w:rsidR="00404483" w:rsidRDefault="000C18F9" w:rsidP="0044167B">
      <w:pPr>
        <w:spacing w:before="120" w:after="120"/>
      </w:pPr>
      <w:r>
        <w:t xml:space="preserve">The </w:t>
      </w:r>
      <w:r w:rsidR="00D67898">
        <w:t xml:space="preserve">Sectoral Policy Division (SPD) </w:t>
      </w:r>
      <w:r w:rsidR="00C56354">
        <w:t xml:space="preserve">has received around $260 million of this funding </w:t>
      </w:r>
      <w:r w:rsidR="00D67898">
        <w:t>to resource global and cross–</w:t>
      </w:r>
      <w:r w:rsidR="00D67898" w:rsidRPr="001757F5">
        <w:t xml:space="preserve">regional programs and </w:t>
      </w:r>
      <w:r w:rsidR="00D67898" w:rsidRPr="00DA3794">
        <w:t>activities</w:t>
      </w:r>
      <w:r w:rsidR="00127717">
        <w:t xml:space="preserve"> in the WASH sector</w:t>
      </w:r>
      <w:r w:rsidR="00D67898">
        <w:t>.</w:t>
      </w:r>
      <w:r w:rsidR="00F74897">
        <w:t xml:space="preserve">  </w:t>
      </w:r>
      <w:r w:rsidR="00CB511F">
        <w:t>This aim</w:t>
      </w:r>
      <w:r w:rsidR="00E94CC4">
        <w:t>s</w:t>
      </w:r>
      <w:r w:rsidR="00CB511F">
        <w:t xml:space="preserve"> of this </w:t>
      </w:r>
      <w:r w:rsidR="002C275E">
        <w:t>funding will</w:t>
      </w:r>
      <w:r w:rsidR="00E94CC4">
        <w:t xml:space="preserve"> be</w:t>
      </w:r>
      <w:r w:rsidR="00404483">
        <w:t>:</w:t>
      </w:r>
      <w:r w:rsidR="002C275E">
        <w:t xml:space="preserve"> </w:t>
      </w:r>
    </w:p>
    <w:p w:rsidR="00404483" w:rsidRDefault="002C275E" w:rsidP="0021623C">
      <w:pPr>
        <w:pStyle w:val="ListParagraph"/>
        <w:numPr>
          <w:ilvl w:val="0"/>
          <w:numId w:val="22"/>
        </w:numPr>
        <w:spacing w:before="120" w:after="120"/>
        <w:ind w:left="714" w:hanging="357"/>
        <w:contextualSpacing w:val="0"/>
      </w:pPr>
      <w:r>
        <w:t>expand</w:t>
      </w:r>
      <w:r w:rsidR="00D75190">
        <w:t>ing</w:t>
      </w:r>
      <w:r>
        <w:t xml:space="preserve"> the geographic re</w:t>
      </w:r>
      <w:bookmarkStart w:id="0" w:name="_GoBack"/>
      <w:r>
        <w:t>a</w:t>
      </w:r>
      <w:bookmarkEnd w:id="0"/>
      <w:r>
        <w:t xml:space="preserve">ch of the aid program’s WASH investment by working with effective multilateral and civil society organisations; </w:t>
      </w:r>
    </w:p>
    <w:p w:rsidR="005034A3" w:rsidRDefault="005034A3" w:rsidP="0021623C">
      <w:pPr>
        <w:pStyle w:val="ListParagraph"/>
        <w:numPr>
          <w:ilvl w:val="0"/>
          <w:numId w:val="22"/>
        </w:numPr>
        <w:spacing w:after="120"/>
        <w:ind w:left="714" w:hanging="357"/>
        <w:contextualSpacing w:val="0"/>
      </w:pPr>
      <w:r>
        <w:t xml:space="preserve">improving where appropriate the targeting of WASH activities </w:t>
      </w:r>
      <w:r w:rsidR="00E94CC4">
        <w:t xml:space="preserve">to ensure aid is delivered to </w:t>
      </w:r>
      <w:r>
        <w:t>where it is needed</w:t>
      </w:r>
      <w:r w:rsidR="0057410B">
        <w:t xml:space="preserve"> most</w:t>
      </w:r>
      <w:r>
        <w:t>;</w:t>
      </w:r>
    </w:p>
    <w:p w:rsidR="00404483" w:rsidRDefault="002C275E" w:rsidP="0021623C">
      <w:pPr>
        <w:pStyle w:val="ListParagraph"/>
        <w:numPr>
          <w:ilvl w:val="0"/>
          <w:numId w:val="22"/>
        </w:numPr>
        <w:spacing w:after="120"/>
        <w:ind w:left="714" w:hanging="357"/>
        <w:contextualSpacing w:val="0"/>
      </w:pPr>
      <w:r>
        <w:t>support</w:t>
      </w:r>
      <w:r w:rsidR="00CB511F">
        <w:t>ing</w:t>
      </w:r>
      <w:r>
        <w:t xml:space="preserve"> innovation and the development of evidence on good pract</w:t>
      </w:r>
      <w:r w:rsidR="00CB511F">
        <w:t xml:space="preserve">ice which will </w:t>
      </w:r>
      <w:r w:rsidR="00D75190">
        <w:t xml:space="preserve">in turn </w:t>
      </w:r>
      <w:r w:rsidR="00CB511F">
        <w:t xml:space="preserve">facilitate the achievement of </w:t>
      </w:r>
      <w:r w:rsidR="00D75190">
        <w:t xml:space="preserve">sustainable </w:t>
      </w:r>
      <w:r w:rsidR="00CB511F">
        <w:t xml:space="preserve">outcomes </w:t>
      </w:r>
      <w:r w:rsidR="00D75190">
        <w:t>for</w:t>
      </w:r>
      <w:r w:rsidR="00CB511F">
        <w:t xml:space="preserve"> AusAID’s investments</w:t>
      </w:r>
      <w:r>
        <w:t xml:space="preserve">; and </w:t>
      </w:r>
    </w:p>
    <w:p w:rsidR="002C275E" w:rsidRDefault="002C275E" w:rsidP="0021623C">
      <w:pPr>
        <w:pStyle w:val="ListParagraph"/>
        <w:numPr>
          <w:ilvl w:val="0"/>
          <w:numId w:val="22"/>
        </w:numPr>
        <w:spacing w:after="120"/>
        <w:ind w:left="714" w:hanging="357"/>
        <w:contextualSpacing w:val="0"/>
      </w:pPr>
      <w:r>
        <w:t>support</w:t>
      </w:r>
      <w:r w:rsidR="004E3926">
        <w:t>ing</w:t>
      </w:r>
      <w:r>
        <w:t xml:space="preserve"> </w:t>
      </w:r>
      <w:r w:rsidR="004E3926">
        <w:t xml:space="preserve">the </w:t>
      </w:r>
      <w:r>
        <w:t>improved</w:t>
      </w:r>
      <w:r w:rsidR="00033C9B">
        <w:t xml:space="preserve"> impact of</w:t>
      </w:r>
      <w:r>
        <w:t xml:space="preserve"> bilateral and development partner programs through the provision of analytical tools</w:t>
      </w:r>
      <w:r w:rsidR="0021623C">
        <w:t xml:space="preserve"> and </w:t>
      </w:r>
      <w:r w:rsidR="00A52111">
        <w:t>investing in the capacity of national WASH sector agencies</w:t>
      </w:r>
      <w:r>
        <w:t>.</w:t>
      </w:r>
    </w:p>
    <w:p w:rsidR="00F73779" w:rsidRPr="001757F5" w:rsidRDefault="001F7C03" w:rsidP="0044167B">
      <w:pPr>
        <w:spacing w:before="120" w:after="120"/>
      </w:pPr>
      <w:r w:rsidRPr="00F74897">
        <w:t xml:space="preserve">This concept note identifies </w:t>
      </w:r>
      <w:r w:rsidR="0044167B" w:rsidRPr="008B76F6">
        <w:t xml:space="preserve">the primary activities to be resourced </w:t>
      </w:r>
      <w:r w:rsidR="008A6F7E">
        <w:t>by</w:t>
      </w:r>
      <w:r w:rsidR="0044167B" w:rsidRPr="008B76F6">
        <w:t xml:space="preserve"> the SPD WASH allocation</w:t>
      </w:r>
      <w:r w:rsidR="008A6F7E">
        <w:t xml:space="preserve"> through to 2015</w:t>
      </w:r>
      <w:r w:rsidR="002D1C18">
        <w:noBreakHyphen/>
      </w:r>
      <w:r w:rsidR="008A6F7E">
        <w:t>16</w:t>
      </w:r>
      <w:r w:rsidR="0044167B">
        <w:t>.</w:t>
      </w:r>
      <w:r w:rsidR="0044167B" w:rsidRPr="00F74897">
        <w:t xml:space="preserve"> </w:t>
      </w:r>
      <w:r w:rsidR="00FD5787">
        <w:t xml:space="preserve"> </w:t>
      </w:r>
      <w:r w:rsidR="00F74897">
        <w:t xml:space="preserve">The </w:t>
      </w:r>
      <w:r w:rsidR="008A6F7E">
        <w:t>proposed activities</w:t>
      </w:r>
      <w:r w:rsidR="007C7EE5">
        <w:t xml:space="preserve"> include</w:t>
      </w:r>
      <w:r w:rsidR="00F73779">
        <w:t>:</w:t>
      </w:r>
    </w:p>
    <w:p w:rsidR="00F73779" w:rsidRPr="001757F5" w:rsidRDefault="00F73779" w:rsidP="008E63C2">
      <w:pPr>
        <w:numPr>
          <w:ilvl w:val="1"/>
          <w:numId w:val="2"/>
        </w:numPr>
        <w:tabs>
          <w:tab w:val="clear" w:pos="1440"/>
          <w:tab w:val="num" w:pos="709"/>
        </w:tabs>
        <w:spacing w:after="120"/>
        <w:ind w:left="709" w:hanging="425"/>
      </w:pPr>
      <w:r>
        <w:t>s</w:t>
      </w:r>
      <w:r w:rsidRPr="001757F5">
        <w:t>upporting WASH programs led by multilateral agencies</w:t>
      </w:r>
      <w:r>
        <w:t>;</w:t>
      </w:r>
    </w:p>
    <w:p w:rsidR="00F73779" w:rsidRPr="001757F5" w:rsidRDefault="00F73779" w:rsidP="008E63C2">
      <w:pPr>
        <w:numPr>
          <w:ilvl w:val="1"/>
          <w:numId w:val="2"/>
        </w:numPr>
        <w:tabs>
          <w:tab w:val="clear" w:pos="1440"/>
          <w:tab w:val="num" w:pos="709"/>
        </w:tabs>
        <w:spacing w:after="120"/>
        <w:ind w:left="709" w:hanging="425"/>
      </w:pPr>
      <w:r>
        <w:t>r</w:t>
      </w:r>
      <w:r w:rsidRPr="001757F5">
        <w:t>esourcing a new Civil Society WASH Fund</w:t>
      </w:r>
      <w:r>
        <w:t>;</w:t>
      </w:r>
    </w:p>
    <w:p w:rsidR="00F73779" w:rsidRDefault="00F73779" w:rsidP="008E63C2">
      <w:pPr>
        <w:numPr>
          <w:ilvl w:val="1"/>
          <w:numId w:val="2"/>
        </w:numPr>
        <w:tabs>
          <w:tab w:val="clear" w:pos="1440"/>
          <w:tab w:val="num" w:pos="709"/>
        </w:tabs>
        <w:spacing w:after="120"/>
        <w:ind w:left="709" w:right="-99" w:hanging="425"/>
      </w:pPr>
      <w:r>
        <w:t>f</w:t>
      </w:r>
      <w:r w:rsidRPr="001757F5">
        <w:t>unding ca</w:t>
      </w:r>
      <w:r>
        <w:t>pacity building activities; and</w:t>
      </w:r>
    </w:p>
    <w:p w:rsidR="001F7C03" w:rsidRDefault="00F73779" w:rsidP="00F74897">
      <w:pPr>
        <w:numPr>
          <w:ilvl w:val="1"/>
          <w:numId w:val="2"/>
        </w:numPr>
        <w:tabs>
          <w:tab w:val="clear" w:pos="1440"/>
          <w:tab w:val="num" w:pos="709"/>
        </w:tabs>
        <w:spacing w:after="120"/>
        <w:ind w:left="709" w:hanging="425"/>
      </w:pPr>
      <w:r>
        <w:t>i</w:t>
      </w:r>
      <w:r w:rsidRPr="001757F5">
        <w:t>nvesting in research and devel</w:t>
      </w:r>
      <w:r>
        <w:t xml:space="preserve">oping </w:t>
      </w:r>
      <w:r w:rsidR="002D1C18">
        <w:t xml:space="preserve">supporting </w:t>
      </w:r>
      <w:r>
        <w:t>analytical tools</w:t>
      </w:r>
      <w:r w:rsidR="00604C88">
        <w:t xml:space="preserve"> and resources</w:t>
      </w:r>
      <w:r w:rsidRPr="001757F5">
        <w:t>.</w:t>
      </w:r>
    </w:p>
    <w:p w:rsidR="00604C88" w:rsidRPr="00B75642" w:rsidRDefault="00604C88" w:rsidP="00604C88">
      <w:pPr>
        <w:spacing w:before="120" w:after="120"/>
        <w:rPr>
          <w:u w:val="single"/>
        </w:rPr>
      </w:pPr>
      <w:r>
        <w:t>The package represents a strategic approach focussing on programs and activities which will complement and support country and regional programs where the majority of WASH programs over the next four years will be managed.  The design and implementation processes for these activities will</w:t>
      </w:r>
      <w:r w:rsidR="00322F90">
        <w:t xml:space="preserve"> be developed in close consultation with AusAID’s country programs and will</w:t>
      </w:r>
      <w:r>
        <w:t xml:space="preserve"> incorporate the cross–cutting themes of gender, disability, climate change</w:t>
      </w:r>
      <w:r w:rsidR="002D1C18">
        <w:t>, child protection</w:t>
      </w:r>
      <w:r w:rsidR="00D40D61">
        <w:t xml:space="preserve"> </w:t>
      </w:r>
      <w:r>
        <w:t xml:space="preserve">and </w:t>
      </w:r>
      <w:r>
        <w:lastRenderedPageBreak/>
        <w:t>safeguards which are particularly relevant to WASH programs and activities.</w:t>
      </w:r>
      <w:r w:rsidR="004B0623">
        <w:t xml:space="preserve"> A results framework for the package of activities is provided in </w:t>
      </w:r>
      <w:r w:rsidR="004B0623">
        <w:rPr>
          <w:u w:val="single"/>
        </w:rPr>
        <w:t xml:space="preserve">Annex </w:t>
      </w:r>
      <w:r w:rsidR="00FC2B14">
        <w:rPr>
          <w:u w:val="single"/>
        </w:rPr>
        <w:t>4</w:t>
      </w:r>
      <w:r w:rsidR="004B0623">
        <w:rPr>
          <w:u w:val="single"/>
        </w:rPr>
        <w:t>.</w:t>
      </w:r>
    </w:p>
    <w:p w:rsidR="0072602A" w:rsidRDefault="00F73779" w:rsidP="004A2EE3">
      <w:pPr>
        <w:spacing w:before="120" w:after="120"/>
      </w:pPr>
      <w:r>
        <w:t xml:space="preserve">It is proposed that the </w:t>
      </w:r>
      <w:r w:rsidRPr="001757F5">
        <w:t>activities will be resourced through to 2015</w:t>
      </w:r>
      <w:r w:rsidR="00655586">
        <w:noBreakHyphen/>
      </w:r>
      <w:r w:rsidR="00170815">
        <w:t>16</w:t>
      </w:r>
      <w:r w:rsidRPr="001757F5">
        <w:t xml:space="preserve"> </w:t>
      </w:r>
      <w:r w:rsidR="00170815">
        <w:t>to</w:t>
      </w:r>
      <w:r w:rsidRPr="001757F5">
        <w:t xml:space="preserve"> ensure</w:t>
      </w:r>
      <w:r>
        <w:t xml:space="preserve"> that there is</w:t>
      </w:r>
      <w:r w:rsidRPr="001757F5">
        <w:t xml:space="preserve"> predictability of funding fo</w:t>
      </w:r>
      <w:r>
        <w:t>r our partners and</w:t>
      </w:r>
      <w:r w:rsidR="00170815">
        <w:t xml:space="preserve"> that</w:t>
      </w:r>
      <w:r>
        <w:t xml:space="preserve"> </w:t>
      </w:r>
      <w:r w:rsidRPr="001757F5">
        <w:t xml:space="preserve">activities are aligned with the Australian aid program’s </w:t>
      </w:r>
      <w:r>
        <w:t>four year Budget S</w:t>
      </w:r>
      <w:r w:rsidRPr="001757F5">
        <w:t>trategy.</w:t>
      </w:r>
      <w:r w:rsidR="00C56354">
        <w:t xml:space="preserve">  </w:t>
      </w:r>
    </w:p>
    <w:p w:rsidR="00AA4A65" w:rsidRDefault="00AA4A65" w:rsidP="004A2EE3">
      <w:pPr>
        <w:spacing w:before="120" w:after="120"/>
      </w:pPr>
      <w:r>
        <w:t xml:space="preserve">Priority will initially be given to implementing Multilateral Programs (activity A) </w:t>
      </w:r>
      <w:r w:rsidR="00C85F95">
        <w:t xml:space="preserve">with </w:t>
      </w:r>
      <w:r w:rsidR="009E39D6">
        <w:t xml:space="preserve">all </w:t>
      </w:r>
      <w:r w:rsidR="00C85F95">
        <w:t>agreements expected to be in place</w:t>
      </w:r>
      <w:r>
        <w:t xml:space="preserve"> </w:t>
      </w:r>
      <w:r w:rsidR="00C85F95">
        <w:t>by June 20</w:t>
      </w:r>
      <w:r>
        <w:t xml:space="preserve">12.  The Civil Society WASH Fund (activity B) involving a competitive grant process is expected to commence in </w:t>
      </w:r>
      <w:r w:rsidR="00AD2C72">
        <w:t xml:space="preserve">September </w:t>
      </w:r>
      <w:r>
        <w:t xml:space="preserve">2012 with other activities to follow shortly thereafter.  </w:t>
      </w:r>
    </w:p>
    <w:p w:rsidR="00655586" w:rsidRDefault="00ED2A97" w:rsidP="004A2EE3">
      <w:pPr>
        <w:spacing w:before="120" w:after="120"/>
      </w:pPr>
      <w:r>
        <w:t>The level of risk associated with implementing this package of activities is considered low as similar activities have been</w:t>
      </w:r>
      <w:r w:rsidR="00C35126">
        <w:t xml:space="preserve"> successfully</w:t>
      </w:r>
      <w:r w:rsidR="00483814">
        <w:t xml:space="preserve"> </w:t>
      </w:r>
      <w:r w:rsidR="000755CA">
        <w:t xml:space="preserve">implemented </w:t>
      </w:r>
      <w:r w:rsidR="00C35126">
        <w:t>in recent years</w:t>
      </w:r>
      <w:r w:rsidR="000C18F9">
        <w:t xml:space="preserve"> through the 2008</w:t>
      </w:r>
      <w:r w:rsidR="002D1C18">
        <w:noBreakHyphen/>
      </w:r>
      <w:r w:rsidR="000C18F9">
        <w:t>09 to 2010</w:t>
      </w:r>
      <w:r w:rsidR="002D1C18">
        <w:t xml:space="preserve"> </w:t>
      </w:r>
      <w:r w:rsidR="002D1C18">
        <w:noBreakHyphen/>
      </w:r>
      <w:r w:rsidR="000C18F9">
        <w:t>11 Water and Sanitation Initiative (WSI)</w:t>
      </w:r>
      <w:r w:rsidR="00501F6C">
        <w:t xml:space="preserve">.  The challenges of improving WASH outcomes for developing countries is huge, and while WSI was successful, it could only address a very small part of the problem and there is still significant work that is needed. </w:t>
      </w:r>
      <w:r w:rsidR="00AA4A65" w:rsidRPr="00F74897">
        <w:t xml:space="preserve"> </w:t>
      </w:r>
      <w:r w:rsidR="00501F6C">
        <w:t xml:space="preserve">The </w:t>
      </w:r>
      <w:r w:rsidR="00AA4A65" w:rsidRPr="00F74897">
        <w:t xml:space="preserve">effectiveness of </w:t>
      </w:r>
      <w:r w:rsidR="00E21D1B">
        <w:t xml:space="preserve">the </w:t>
      </w:r>
      <w:r w:rsidR="00C35126">
        <w:t>package will be assessed against an</w:t>
      </w:r>
      <w:r w:rsidR="00AA4A65">
        <w:t xml:space="preserve"> outputs a</w:t>
      </w:r>
      <w:r w:rsidR="00C35126">
        <w:t xml:space="preserve">nd outcome framework covering </w:t>
      </w:r>
      <w:r w:rsidR="00AA4A65">
        <w:t xml:space="preserve">indicators ranging from increased number of households with access to safe water, basic sanitation and hygiene education through to </w:t>
      </w:r>
      <w:r w:rsidR="00C35126">
        <w:t>increased capacity to deliver and maintain WASH systems.</w:t>
      </w:r>
      <w:r w:rsidR="005336B7">
        <w:t xml:space="preserve"> </w:t>
      </w:r>
    </w:p>
    <w:p w:rsidR="001F7C03" w:rsidRPr="001757F5" w:rsidRDefault="001F7C03" w:rsidP="00133513">
      <w:pPr>
        <w:spacing w:before="240" w:after="240"/>
      </w:pPr>
      <w:r w:rsidRPr="001757F5">
        <w:rPr>
          <w:b/>
        </w:rPr>
        <w:t>Context and Rationale</w:t>
      </w:r>
    </w:p>
    <w:p w:rsidR="00AC52D2" w:rsidRDefault="00AC52D2" w:rsidP="001F7C03">
      <w:pPr>
        <w:spacing w:before="240" w:after="240"/>
        <w:ind w:left="426" w:hanging="426"/>
        <w:rPr>
          <w:i/>
        </w:rPr>
      </w:pPr>
      <w:r>
        <w:rPr>
          <w:i/>
        </w:rPr>
        <w:t>Benefits of Investing in WASH</w:t>
      </w:r>
    </w:p>
    <w:p w:rsidR="00714973" w:rsidRPr="00F74897" w:rsidRDefault="00714973" w:rsidP="00714973">
      <w:pPr>
        <w:rPr>
          <w:color w:val="000000" w:themeColor="text1"/>
        </w:rPr>
      </w:pPr>
      <w:r w:rsidRPr="00F74897">
        <w:rPr>
          <w:color w:val="000000" w:themeColor="text1"/>
        </w:rPr>
        <w:t>Access to safe water and basic sanitation, combined with good hygiene behaviours, contributes significantly to improving public health outcomes. More than 1.5 million children around the world die each year as a result of diarrhoea, a water</w:t>
      </w:r>
      <w:r w:rsidRPr="00F74897">
        <w:rPr>
          <w:color w:val="000000" w:themeColor="text1"/>
        </w:rPr>
        <w:noBreakHyphen/>
        <w:t xml:space="preserve">borne disease and the second leading cause of deaths for children. Extending access to safe water and basic sanitation and improving hygiene practices will lower the incidence of diseases carried by water and improve public health, especially for women and children. According to one estimate by the World Health Organisation (WHO), achieving MDG target 7C could </w:t>
      </w:r>
      <w:r w:rsidR="00573980">
        <w:rPr>
          <w:color w:val="000000" w:themeColor="text1"/>
        </w:rPr>
        <w:t>result</w:t>
      </w:r>
      <w:r w:rsidR="00573980" w:rsidRPr="00F74897">
        <w:rPr>
          <w:color w:val="000000" w:themeColor="text1"/>
        </w:rPr>
        <w:t xml:space="preserve"> </w:t>
      </w:r>
      <w:r w:rsidR="00573980">
        <w:rPr>
          <w:color w:val="000000" w:themeColor="text1"/>
        </w:rPr>
        <w:t>in a 10%</w:t>
      </w:r>
      <w:r w:rsidRPr="00F74897">
        <w:rPr>
          <w:color w:val="000000" w:themeColor="text1"/>
        </w:rPr>
        <w:t xml:space="preserve"> reduction </w:t>
      </w:r>
      <w:r w:rsidR="00417AB3">
        <w:rPr>
          <w:color w:val="000000" w:themeColor="text1"/>
        </w:rPr>
        <w:t xml:space="preserve">in </w:t>
      </w:r>
      <w:r w:rsidR="00573980">
        <w:rPr>
          <w:color w:val="000000" w:themeColor="text1"/>
        </w:rPr>
        <w:t>global</w:t>
      </w:r>
      <w:r w:rsidR="00573980" w:rsidRPr="00F74897">
        <w:rPr>
          <w:color w:val="000000" w:themeColor="text1"/>
        </w:rPr>
        <w:t xml:space="preserve"> </w:t>
      </w:r>
      <w:r w:rsidRPr="00F74897">
        <w:rPr>
          <w:color w:val="000000" w:themeColor="text1"/>
        </w:rPr>
        <w:t>diarrhoeal episodes.</w:t>
      </w:r>
      <w:r w:rsidR="00AD7328">
        <w:rPr>
          <w:rStyle w:val="EndnoteReference"/>
          <w:color w:val="000000" w:themeColor="text1"/>
        </w:rPr>
        <w:endnoteReference w:id="2"/>
      </w:r>
    </w:p>
    <w:p w:rsidR="00714973" w:rsidRPr="00F74897" w:rsidRDefault="00714973" w:rsidP="00714973">
      <w:pPr>
        <w:rPr>
          <w:color w:val="000000" w:themeColor="text1"/>
        </w:rPr>
      </w:pPr>
    </w:p>
    <w:p w:rsidR="00714973" w:rsidRPr="00F74897" w:rsidRDefault="00714973" w:rsidP="008D5AD9">
      <w:pPr>
        <w:ind w:right="185"/>
        <w:rPr>
          <w:color w:val="000000" w:themeColor="text1"/>
        </w:rPr>
      </w:pPr>
      <w:r w:rsidRPr="00F74897">
        <w:rPr>
          <w:color w:val="000000" w:themeColor="text1"/>
        </w:rPr>
        <w:t xml:space="preserve">The economic impacts on individuals, communities and countries caused by </w:t>
      </w:r>
      <w:r w:rsidR="00FD5787">
        <w:rPr>
          <w:color w:val="000000" w:themeColor="text1"/>
        </w:rPr>
        <w:t xml:space="preserve">a </w:t>
      </w:r>
      <w:r w:rsidRPr="00F74897">
        <w:rPr>
          <w:color w:val="000000" w:themeColor="text1"/>
        </w:rPr>
        <w:t xml:space="preserve">lack of access to safe water and basic sanitation, and poor hygiene practices, are also significant. </w:t>
      </w:r>
      <w:r w:rsidR="0075542C">
        <w:rPr>
          <w:color w:val="000000" w:themeColor="text1"/>
        </w:rPr>
        <w:t>A</w:t>
      </w:r>
      <w:r w:rsidR="0075542C" w:rsidRPr="00F74897">
        <w:rPr>
          <w:color w:val="000000" w:themeColor="text1"/>
        </w:rPr>
        <w:t xml:space="preserve"> 2007 World Bank study found that Indonesia lost 56 trillion Indonesian Rupiah (US$6.3 billion) or approximately 2.3 per cent of gross domestic product in 2005 because of poor sanitation and poor hygiene practices.</w:t>
      </w:r>
      <w:r w:rsidR="00AD7328">
        <w:rPr>
          <w:rStyle w:val="EndnoteReference"/>
          <w:color w:val="000000" w:themeColor="text1"/>
        </w:rPr>
        <w:endnoteReference w:id="3"/>
      </w:r>
      <w:r w:rsidR="00E21D1B" w:rsidRPr="00E21D1B" w:rsidDel="00E21D1B">
        <w:rPr>
          <w:rStyle w:val="EndnoteReference"/>
          <w:color w:val="000000" w:themeColor="text1"/>
        </w:rPr>
        <w:t xml:space="preserve"> </w:t>
      </w:r>
      <w:r w:rsidRPr="00F74897">
        <w:rPr>
          <w:color w:val="000000" w:themeColor="text1"/>
        </w:rPr>
        <w:t xml:space="preserve">The WHO has </w:t>
      </w:r>
      <w:r w:rsidR="0075542C">
        <w:rPr>
          <w:color w:val="000000" w:themeColor="text1"/>
        </w:rPr>
        <w:t xml:space="preserve">also </w:t>
      </w:r>
      <w:r w:rsidRPr="00F74897">
        <w:rPr>
          <w:color w:val="000000" w:themeColor="text1"/>
        </w:rPr>
        <w:t xml:space="preserve">estimated that achieving the </w:t>
      </w:r>
      <w:r w:rsidR="00583F68" w:rsidRPr="00F74897">
        <w:rPr>
          <w:color w:val="000000" w:themeColor="text1"/>
        </w:rPr>
        <w:t xml:space="preserve">MDG </w:t>
      </w:r>
      <w:r w:rsidRPr="00F74897">
        <w:rPr>
          <w:color w:val="000000" w:themeColor="text1"/>
        </w:rPr>
        <w:t xml:space="preserve">target for both water and sanitation would result in an economic return of between US$3 and US$34 per US$1 invested, depending on the region. These returns include global improvements in productivity </w:t>
      </w:r>
      <w:r w:rsidR="00827F56">
        <w:rPr>
          <w:color w:val="000000" w:themeColor="text1"/>
        </w:rPr>
        <w:t>and</w:t>
      </w:r>
      <w:r w:rsidRPr="00F74897">
        <w:rPr>
          <w:color w:val="000000" w:themeColor="text1"/>
        </w:rPr>
        <w:t xml:space="preserve"> savings to the health sector</w:t>
      </w:r>
      <w:r w:rsidR="008D64BA">
        <w:rPr>
          <w:color w:val="000000" w:themeColor="text1"/>
        </w:rPr>
        <w:t>.</w:t>
      </w:r>
      <w:r w:rsidR="003944DA">
        <w:rPr>
          <w:rStyle w:val="EndnoteReference"/>
          <w:color w:val="000000" w:themeColor="text1"/>
        </w:rPr>
        <w:endnoteReference w:id="4"/>
      </w:r>
    </w:p>
    <w:p w:rsidR="001F7C03" w:rsidRPr="001757F5" w:rsidRDefault="001F7C03" w:rsidP="001F7C03">
      <w:pPr>
        <w:spacing w:before="240" w:after="240"/>
        <w:ind w:left="426" w:hanging="426"/>
        <w:rPr>
          <w:i/>
        </w:rPr>
      </w:pPr>
      <w:r>
        <w:rPr>
          <w:i/>
        </w:rPr>
        <w:t>Global Progress Against Improved Outcomes for WASH</w:t>
      </w:r>
    </w:p>
    <w:p w:rsidR="003B6C42" w:rsidRDefault="003B6C42" w:rsidP="003B6C42">
      <w:r>
        <w:t>A</w:t>
      </w:r>
      <w:r w:rsidRPr="001757F5">
        <w:t xml:space="preserve">lmost 900 million people in the world do not have access to safe drinking water. The situation concerning access to </w:t>
      </w:r>
      <w:r>
        <w:t xml:space="preserve">basic sanitation is even worse </w:t>
      </w:r>
      <w:r w:rsidRPr="001757F5">
        <w:t>with 2.6 billion people not using basic sanitation facilities.</w:t>
      </w:r>
      <w:r>
        <w:rPr>
          <w:rStyle w:val="EndnoteReference"/>
        </w:rPr>
        <w:endnoteReference w:id="5"/>
      </w:r>
    </w:p>
    <w:p w:rsidR="001F7C03" w:rsidRPr="001757F5" w:rsidRDefault="001F7C03" w:rsidP="001F7C03">
      <w:pPr>
        <w:spacing w:before="120" w:after="120"/>
        <w:ind w:right="-144"/>
      </w:pPr>
      <w:r w:rsidRPr="001757F5">
        <w:t xml:space="preserve">At the current rate of progress the world will miss MDG target </w:t>
      </w:r>
      <w:r w:rsidRPr="0019400A">
        <w:t>7</w:t>
      </w:r>
      <w:r w:rsidR="006224DA" w:rsidRPr="0019400A">
        <w:t xml:space="preserve">C </w:t>
      </w:r>
      <w:r w:rsidRPr="001757F5">
        <w:t xml:space="preserve">for </w:t>
      </w:r>
      <w:r w:rsidR="0043375C">
        <w:t xml:space="preserve">basic </w:t>
      </w:r>
      <w:r w:rsidRPr="001757F5">
        <w:t>sanitation</w:t>
      </w:r>
      <w:r w:rsidR="008C29E4">
        <w:t xml:space="preserve">. </w:t>
      </w:r>
      <w:r w:rsidR="008C29E4" w:rsidRPr="001757F5">
        <w:t xml:space="preserve">At least </w:t>
      </w:r>
      <w:r w:rsidR="00723B1E">
        <w:t>a</w:t>
      </w:r>
      <w:r w:rsidR="008C29E4" w:rsidRPr="001757F5">
        <w:t xml:space="preserve"> billion people</w:t>
      </w:r>
      <w:r w:rsidR="0043375C">
        <w:t>,</w:t>
      </w:r>
      <w:r w:rsidR="008C29E4" w:rsidRPr="001757F5">
        <w:t xml:space="preserve"> or 17 per cent of the world’s population</w:t>
      </w:r>
      <w:r w:rsidR="0043375C">
        <w:t>,</w:t>
      </w:r>
      <w:r w:rsidR="008C29E4" w:rsidRPr="001757F5">
        <w:t xml:space="preserve"> </w:t>
      </w:r>
      <w:r w:rsidR="008C29E4">
        <w:t xml:space="preserve">still </w:t>
      </w:r>
      <w:r w:rsidR="008C29E4" w:rsidRPr="001757F5">
        <w:t xml:space="preserve">defecate in the open </w:t>
      </w:r>
      <w:r>
        <w:t>and</w:t>
      </w:r>
      <w:r w:rsidR="008C29E4">
        <w:t>, at the current rate of progress,</w:t>
      </w:r>
      <w:r>
        <w:t xml:space="preserve"> the number of people without access to basic sanitation will </w:t>
      </w:r>
      <w:r w:rsidR="008C29E4">
        <w:t>increase to</w:t>
      </w:r>
      <w:r>
        <w:t xml:space="preserve"> </w:t>
      </w:r>
      <w:r w:rsidRPr="001757F5">
        <w:t>2.7 billion people by 2015.</w:t>
      </w:r>
      <w:r w:rsidR="00133513">
        <w:rPr>
          <w:rStyle w:val="EndnoteReference"/>
        </w:rPr>
        <w:endnoteReference w:id="6"/>
      </w:r>
    </w:p>
    <w:p w:rsidR="0075542C" w:rsidRDefault="001F7C03" w:rsidP="00CB4096">
      <w:pPr>
        <w:spacing w:before="120" w:after="120"/>
        <w:ind w:right="-144"/>
        <w:rPr>
          <w:color w:val="000000" w:themeColor="text1"/>
        </w:rPr>
      </w:pPr>
      <w:r w:rsidRPr="001757F5">
        <w:lastRenderedPageBreak/>
        <w:t>While the world is on track to meet MDG target</w:t>
      </w:r>
      <w:r>
        <w:t xml:space="preserve"> </w:t>
      </w:r>
      <w:r w:rsidR="0019400A">
        <w:t xml:space="preserve">7C </w:t>
      </w:r>
      <w:r w:rsidRPr="001757F5">
        <w:t xml:space="preserve">for </w:t>
      </w:r>
      <w:r w:rsidR="0043375C">
        <w:t>safe drinking water</w:t>
      </w:r>
      <w:r w:rsidRPr="001757F5">
        <w:t xml:space="preserve"> by 2015, the level of access varies</w:t>
      </w:r>
      <w:r w:rsidR="009D6B5D">
        <w:t xml:space="preserve"> considerably</w:t>
      </w:r>
      <w:r w:rsidRPr="001757F5">
        <w:t>. Water supply is often intermittent and coverage typically does not reach t</w:t>
      </w:r>
      <w:r>
        <w:t>he poorest people</w:t>
      </w:r>
      <w:r w:rsidRPr="001757F5">
        <w:t xml:space="preserve">. Many of the gains made through increasing coverage are now at risk due to </w:t>
      </w:r>
      <w:r w:rsidR="00FF37AA">
        <w:t xml:space="preserve">low sustainability arising from common causes of </w:t>
      </w:r>
      <w:r w:rsidRPr="001757F5">
        <w:t>weak management systems</w:t>
      </w:r>
      <w:r w:rsidR="00FF37AA">
        <w:t>,</w:t>
      </w:r>
      <w:r w:rsidRPr="001757F5">
        <w:t xml:space="preserve"> unmaintained infrastructure</w:t>
      </w:r>
      <w:r w:rsidR="00FF37AA">
        <w:t xml:space="preserve"> and lack of a supply chain</w:t>
      </w:r>
      <w:r w:rsidR="00B864C7">
        <w:t>s</w:t>
      </w:r>
      <w:r w:rsidR="00FF37AA">
        <w:t xml:space="preserve"> for parts</w:t>
      </w:r>
      <w:r w:rsidRPr="001757F5">
        <w:t xml:space="preserve">. </w:t>
      </w:r>
      <w:r>
        <w:t>UNICEF estimate</w:t>
      </w:r>
      <w:r w:rsidR="0043375C">
        <w:t>s</w:t>
      </w:r>
      <w:r>
        <w:t xml:space="preserve"> that </w:t>
      </w:r>
      <w:r w:rsidRPr="001757F5">
        <w:t>an average of 36 per cent of rural hand</w:t>
      </w:r>
      <w:r>
        <w:t xml:space="preserve"> pumps in 20 countries in Sub–</w:t>
      </w:r>
      <w:r w:rsidRPr="001757F5">
        <w:t>Saharan Africa are no longer functioning.</w:t>
      </w:r>
      <w:r w:rsidR="00133513">
        <w:rPr>
          <w:rStyle w:val="EndnoteReference"/>
        </w:rPr>
        <w:endnoteReference w:id="7"/>
      </w:r>
      <w:r w:rsidR="0075542C" w:rsidRPr="0075542C">
        <w:rPr>
          <w:color w:val="000000" w:themeColor="text1"/>
        </w:rPr>
        <w:t xml:space="preserve"> </w:t>
      </w:r>
    </w:p>
    <w:p w:rsidR="00204769" w:rsidRDefault="009348D3" w:rsidP="00CB4096">
      <w:pPr>
        <w:spacing w:before="240" w:after="240"/>
        <w:ind w:left="426" w:hanging="426"/>
        <w:rPr>
          <w:i/>
          <w:color w:val="000000" w:themeColor="text1"/>
        </w:rPr>
      </w:pPr>
      <w:r w:rsidRPr="00CB4096">
        <w:rPr>
          <w:i/>
        </w:rPr>
        <w:t>Challenges</w:t>
      </w:r>
      <w:r>
        <w:rPr>
          <w:i/>
          <w:color w:val="000000" w:themeColor="text1"/>
        </w:rPr>
        <w:t xml:space="preserve"> Facing Improved Outcomes for WASH</w:t>
      </w:r>
    </w:p>
    <w:p w:rsidR="009348D3" w:rsidRDefault="009348D3" w:rsidP="00CB4096">
      <w:pPr>
        <w:tabs>
          <w:tab w:val="left" w:pos="0"/>
        </w:tabs>
        <w:spacing w:after="120"/>
      </w:pPr>
      <w:r w:rsidRPr="00FB07F4">
        <w:t>A range of limitations impact on progress in the WASH sector. Governments in developing countries are often constrained by poor capacity in technical and financial management as well as ‘soft skills’ including facilitation, behaviour change and gender analysis. There is often a lack of engagement with communities in decision</w:t>
      </w:r>
      <w:r w:rsidR="00322F90">
        <w:t>–</w:t>
      </w:r>
      <w:r w:rsidRPr="00FB07F4">
        <w:t xml:space="preserve">making </w:t>
      </w:r>
      <w:r>
        <w:t>and weak</w:t>
      </w:r>
      <w:r w:rsidRPr="00FB07F4">
        <w:t xml:space="preserve"> coordination </w:t>
      </w:r>
      <w:r>
        <w:t>between</w:t>
      </w:r>
      <w:r w:rsidRPr="00FB07F4">
        <w:t xml:space="preserve"> s</w:t>
      </w:r>
      <w:r>
        <w:t xml:space="preserve">takeholders to ensure that </w:t>
      </w:r>
      <w:r w:rsidRPr="00FB07F4">
        <w:t>WASH service delivery targe</w:t>
      </w:r>
      <w:r>
        <w:t>ts the poor and that</w:t>
      </w:r>
      <w:r w:rsidRPr="00FB07F4">
        <w:t xml:space="preserve"> </w:t>
      </w:r>
      <w:r>
        <w:t>programs</w:t>
      </w:r>
      <w:r w:rsidRPr="00FB07F4">
        <w:t xml:space="preserve"> </w:t>
      </w:r>
      <w:r>
        <w:t xml:space="preserve">are based on current </w:t>
      </w:r>
      <w:r w:rsidRPr="00FB07F4">
        <w:t xml:space="preserve">evidence </w:t>
      </w:r>
      <w:r>
        <w:t>of</w:t>
      </w:r>
      <w:r w:rsidRPr="00FB07F4">
        <w:t xml:space="preserve"> what works on the ground. Development partners often retain an infrastructure focus with limited attention to health</w:t>
      </w:r>
      <w:r>
        <w:t>,</w:t>
      </w:r>
      <w:r w:rsidRPr="00FB07F4">
        <w:t xml:space="preserve"> hygiene behaviour change and community engagement or accountability.</w:t>
      </w:r>
    </w:p>
    <w:p w:rsidR="009348D3" w:rsidRDefault="009348D3" w:rsidP="00CB4096">
      <w:pPr>
        <w:tabs>
          <w:tab w:val="left" w:pos="0"/>
        </w:tabs>
        <w:spacing w:after="120"/>
      </w:pPr>
      <w:r>
        <w:t>Significant effort by both research institutions and development practitioners has been put towards identifying the weaknesses in traditional approaches to WASH programming, and identifying innovations that seek to address these, in order to improve effectiveness and impact. For example, community management of WASH infrastructure is increasingly being questioned which is driving a shift in focus to more professional management models</w:t>
      </w:r>
      <w:r w:rsidRPr="00CC23D6">
        <w:rPr>
          <w:rStyle w:val="EndnoteReference"/>
          <w:sz w:val="20"/>
          <w:szCs w:val="20"/>
        </w:rPr>
        <w:endnoteReference w:id="8"/>
      </w:r>
      <w:r>
        <w:t xml:space="preserve">, and similarly </w:t>
      </w:r>
      <w:r w:rsidR="0041748F">
        <w:t xml:space="preserve">  small business sanitation enterprises</w:t>
      </w:r>
      <w:r>
        <w:t xml:space="preserve"> are challenging traditional subsidy approaches to sanitation. </w:t>
      </w:r>
      <w:r w:rsidR="00FD5787">
        <w:t xml:space="preserve"> </w:t>
      </w:r>
      <w:r w:rsidR="009460F4">
        <w:t xml:space="preserve">Substantial work is required </w:t>
      </w:r>
      <w:r>
        <w:t xml:space="preserve">to </w:t>
      </w:r>
      <w:r w:rsidR="00B76ACB">
        <w:t>identify, document and share learning</w:t>
      </w:r>
      <w:r>
        <w:t xml:space="preserve"> on succes</w:t>
      </w:r>
      <w:r w:rsidR="00B76ACB">
        <w:t>sful innovation where it occurs</w:t>
      </w:r>
      <w:r w:rsidR="009460F4">
        <w:t>. Practitioners must then</w:t>
      </w:r>
      <w:r>
        <w:t xml:space="preserve"> scale up what have been characterised as ‘islands of success in a sea of failure’</w:t>
      </w:r>
      <w:r w:rsidRPr="00CC23D6">
        <w:rPr>
          <w:rStyle w:val="EndnoteReference"/>
          <w:sz w:val="20"/>
          <w:szCs w:val="20"/>
        </w:rPr>
        <w:endnoteReference w:id="9"/>
      </w:r>
      <w:r>
        <w:t xml:space="preserve"> in order to achieve the targets set in the MDGs and beyond.</w:t>
      </w:r>
    </w:p>
    <w:p w:rsidR="0075542C" w:rsidRPr="001757F5" w:rsidRDefault="00FC752A" w:rsidP="0075542C">
      <w:pPr>
        <w:spacing w:before="240" w:after="240"/>
        <w:ind w:left="426" w:hanging="426"/>
        <w:rPr>
          <w:i/>
        </w:rPr>
      </w:pPr>
      <w:r w:rsidRPr="001757F5">
        <w:rPr>
          <w:i/>
        </w:rPr>
        <w:t xml:space="preserve">WASH </w:t>
      </w:r>
      <w:r>
        <w:rPr>
          <w:i/>
        </w:rPr>
        <w:t>and</w:t>
      </w:r>
      <w:r w:rsidRPr="001757F5">
        <w:rPr>
          <w:i/>
        </w:rPr>
        <w:t xml:space="preserve"> the Australian Aid Program</w:t>
      </w:r>
    </w:p>
    <w:p w:rsidR="009751BB" w:rsidRDefault="009751BB" w:rsidP="0075542C">
      <w:pPr>
        <w:ind w:right="-99"/>
      </w:pPr>
      <w:r w:rsidRPr="001757F5">
        <w:t>“Saving lives” is a</w:t>
      </w:r>
      <w:r>
        <w:t xml:space="preserve"> core strategic goal of </w:t>
      </w:r>
      <w:r w:rsidR="00431E60">
        <w:t>Australia’s</w:t>
      </w:r>
      <w:r>
        <w:t xml:space="preserve"> aid program</w:t>
      </w:r>
      <w:r w:rsidRPr="001757F5">
        <w:t>. Improving public health by increasing access to safe water and</w:t>
      </w:r>
      <w:r w:rsidR="001D00B0">
        <w:t xml:space="preserve"> basic</w:t>
      </w:r>
      <w:r w:rsidRPr="001757F5">
        <w:t xml:space="preserve"> sanitation </w:t>
      </w:r>
      <w:r w:rsidR="001D00B0">
        <w:t xml:space="preserve">and improving hygiene behaviour </w:t>
      </w:r>
      <w:r w:rsidRPr="001757F5">
        <w:t>is</w:t>
      </w:r>
      <w:r>
        <w:t xml:space="preserve"> </w:t>
      </w:r>
      <w:r w:rsidRPr="001757F5">
        <w:t xml:space="preserve">a key development objective that supports this </w:t>
      </w:r>
      <w:r w:rsidR="004B7527">
        <w:t>strategic</w:t>
      </w:r>
      <w:r>
        <w:t xml:space="preserve"> </w:t>
      </w:r>
      <w:r w:rsidRPr="001757F5">
        <w:t>goal.</w:t>
      </w:r>
      <w:r w:rsidR="001D00B0">
        <w:t xml:space="preserve"> </w:t>
      </w:r>
      <w:r w:rsidRPr="00770A14">
        <w:t>The aid program</w:t>
      </w:r>
      <w:r>
        <w:t xml:space="preserve"> emphasises that Australia will invest significant resources in this sector because it is a</w:t>
      </w:r>
      <w:r w:rsidR="00200313">
        <w:t xml:space="preserve"> proven way</w:t>
      </w:r>
      <w:r>
        <w:t xml:space="preserve"> </w:t>
      </w:r>
      <w:r w:rsidR="00CF1CB5">
        <w:t xml:space="preserve">to </w:t>
      </w:r>
      <w:r w:rsidR="00200313">
        <w:t>deliver</w:t>
      </w:r>
      <w:r w:rsidR="00CF1CB5">
        <w:t xml:space="preserve"> health outcomes</w:t>
      </w:r>
      <w:r>
        <w:t xml:space="preserve">, </w:t>
      </w:r>
      <w:r w:rsidR="00CF1CB5">
        <w:t xml:space="preserve">particularly </w:t>
      </w:r>
      <w:r w:rsidR="00200313">
        <w:t xml:space="preserve">given the high relative benefit for </w:t>
      </w:r>
      <w:r>
        <w:t>child survival</w:t>
      </w:r>
      <w:r w:rsidR="001D00B0">
        <w:t xml:space="preserve"> rates</w:t>
      </w:r>
      <w:r>
        <w:t xml:space="preserve"> </w:t>
      </w:r>
      <w:r w:rsidR="00200313">
        <w:t>of</w:t>
      </w:r>
      <w:r w:rsidR="0038372F">
        <w:t xml:space="preserve"> </w:t>
      </w:r>
      <w:r>
        <w:t>investments in sanitation and hygiene</w:t>
      </w:r>
      <w:r w:rsidR="00200313">
        <w:t xml:space="preserve"> when compared to other intervention</w:t>
      </w:r>
      <w:r w:rsidR="005034A3">
        <w:t>s</w:t>
      </w:r>
      <w:r w:rsidR="000755CA">
        <w:t>.</w:t>
      </w:r>
    </w:p>
    <w:p w:rsidR="009A439D" w:rsidRDefault="00305CFE" w:rsidP="00305CFE">
      <w:pPr>
        <w:spacing w:before="120" w:after="120"/>
      </w:pPr>
      <w:r>
        <w:t xml:space="preserve">The Australian Government’s investment in WASH was significantly scaled up through the </w:t>
      </w:r>
      <w:r w:rsidR="00C9551E">
        <w:t>WSI</w:t>
      </w:r>
      <w:r>
        <w:t xml:space="preserve">. </w:t>
      </w:r>
      <w:r w:rsidR="00C9551E">
        <w:t>This initiative</w:t>
      </w:r>
      <w:r w:rsidR="009A439D">
        <w:t xml:space="preserve"> aimed </w:t>
      </w:r>
      <w:r w:rsidR="00145E6A">
        <w:t xml:space="preserve">to </w:t>
      </w:r>
      <w:r w:rsidR="009A439D">
        <w:t>improv</w:t>
      </w:r>
      <w:r w:rsidR="00145E6A">
        <w:t>e</w:t>
      </w:r>
      <w:r w:rsidR="009A439D" w:rsidRPr="00E57B5B">
        <w:t xml:space="preserve"> public health by increasing access to safe water and basic sanitation, improving hygiene behaviour and supporti</w:t>
      </w:r>
      <w:r w:rsidR="009A439D">
        <w:t>n</w:t>
      </w:r>
      <w:r w:rsidR="0019400A">
        <w:t>g sustainable service delivery.</w:t>
      </w:r>
      <w:r w:rsidR="006D3203">
        <w:t xml:space="preserve"> </w:t>
      </w:r>
      <w:r w:rsidR="009A439D">
        <w:t xml:space="preserve">A broad range of programs were resourced </w:t>
      </w:r>
      <w:r w:rsidR="00785DC1">
        <w:t xml:space="preserve">through the WSI </w:t>
      </w:r>
      <w:r w:rsidR="009A439D">
        <w:t>to:</w:t>
      </w:r>
    </w:p>
    <w:p w:rsidR="00305CFE" w:rsidRDefault="009A439D" w:rsidP="009A439D">
      <w:pPr>
        <w:pStyle w:val="ListParagraph"/>
        <w:numPr>
          <w:ilvl w:val="0"/>
          <w:numId w:val="4"/>
        </w:numPr>
        <w:spacing w:before="120" w:after="120"/>
      </w:pPr>
      <w:r>
        <w:t>increase bilateral support for effective programs such as the National Target Program in Vietnam and the Hibah program in Indonesia</w:t>
      </w:r>
      <w:r w:rsidR="00785DC1">
        <w:t>;</w:t>
      </w:r>
    </w:p>
    <w:p w:rsidR="009A439D" w:rsidRPr="00E57B5B" w:rsidRDefault="009A439D" w:rsidP="009A439D">
      <w:pPr>
        <w:numPr>
          <w:ilvl w:val="0"/>
          <w:numId w:val="4"/>
        </w:numPr>
        <w:spacing w:before="120" w:after="120"/>
      </w:pPr>
      <w:r>
        <w:t>provide</w:t>
      </w:r>
      <w:r w:rsidRPr="00E57B5B">
        <w:t xml:space="preserve"> greater geographic coverage for </w:t>
      </w:r>
      <w:r>
        <w:t>the aid program</w:t>
      </w:r>
      <w:r w:rsidRPr="00E57B5B">
        <w:t xml:space="preserve"> through partnerships with </w:t>
      </w:r>
      <w:r>
        <w:t>multilateral organisations</w:t>
      </w:r>
      <w:r w:rsidRPr="009A439D">
        <w:t xml:space="preserve"> </w:t>
      </w:r>
      <w:r>
        <w:t xml:space="preserve">in </w:t>
      </w:r>
      <w:r w:rsidRPr="00E57B5B">
        <w:t>Africa and South Asia</w:t>
      </w:r>
      <w:r>
        <w:t>; and</w:t>
      </w:r>
    </w:p>
    <w:p w:rsidR="009A439D" w:rsidRDefault="009A439D" w:rsidP="009A439D">
      <w:pPr>
        <w:pStyle w:val="ListParagraph"/>
        <w:numPr>
          <w:ilvl w:val="0"/>
          <w:numId w:val="4"/>
        </w:numPr>
        <w:spacing w:before="120" w:after="120"/>
      </w:pPr>
      <w:r>
        <w:t>work with</w:t>
      </w:r>
      <w:r w:rsidRPr="00E57B5B">
        <w:t xml:space="preserve"> </w:t>
      </w:r>
      <w:r>
        <w:t>civil society organisations</w:t>
      </w:r>
      <w:r w:rsidRPr="00E57B5B">
        <w:t xml:space="preserve"> to provide support for the poorest </w:t>
      </w:r>
      <w:r w:rsidR="0075542C">
        <w:t xml:space="preserve">and most vulnerable </w:t>
      </w:r>
      <w:r w:rsidRPr="00E57B5B">
        <w:t>people in developing countries.</w:t>
      </w:r>
    </w:p>
    <w:p w:rsidR="0075542C" w:rsidRDefault="000D07F6" w:rsidP="008B76F6">
      <w:pPr>
        <w:spacing w:before="120" w:after="120"/>
        <w:ind w:right="-241"/>
      </w:pPr>
      <w:r>
        <w:lastRenderedPageBreak/>
        <w:t>The</w:t>
      </w:r>
      <w:r w:rsidR="006D3203">
        <w:t>se</w:t>
      </w:r>
      <w:r>
        <w:t xml:space="preserve"> WSI programs </w:t>
      </w:r>
      <w:r w:rsidR="006D3203">
        <w:t xml:space="preserve">have </w:t>
      </w:r>
      <w:r>
        <w:t>deliver</w:t>
      </w:r>
      <w:r w:rsidR="00E4627B">
        <w:t>ed</w:t>
      </w:r>
      <w:r>
        <w:t xml:space="preserve"> significant results for the aid pr</w:t>
      </w:r>
      <w:r w:rsidR="00EE3351">
        <w:t>ogram.</w:t>
      </w:r>
      <w:r w:rsidR="006D3203">
        <w:t xml:space="preserve"> I</w:t>
      </w:r>
      <w:r w:rsidR="00AD40B5">
        <w:t xml:space="preserve">n Indonesia </w:t>
      </w:r>
      <w:r w:rsidR="006D3203">
        <w:t xml:space="preserve">it </w:t>
      </w:r>
      <w:r w:rsidR="00EE3351">
        <w:t>has</w:t>
      </w:r>
      <w:r>
        <w:t xml:space="preserve"> assisted with </w:t>
      </w:r>
      <w:r w:rsidR="00EE3351">
        <w:t xml:space="preserve">the provision of access to safe piped water for </w:t>
      </w:r>
      <w:r w:rsidRPr="000D07F6">
        <w:t xml:space="preserve">77,000 households and connections to sewers </w:t>
      </w:r>
      <w:r w:rsidR="00651F08">
        <w:t xml:space="preserve">for </w:t>
      </w:r>
      <w:r w:rsidR="00EE3351">
        <w:t>5,000</w:t>
      </w:r>
      <w:r w:rsidR="00514ED5">
        <w:t xml:space="preserve"> </w:t>
      </w:r>
      <w:r w:rsidR="00EE3351">
        <w:t>households</w:t>
      </w:r>
      <w:r w:rsidR="0076367D">
        <w:t xml:space="preserve">. WSI </w:t>
      </w:r>
      <w:r w:rsidR="00FF37AA">
        <w:t xml:space="preserve">funding for </w:t>
      </w:r>
      <w:r w:rsidR="00EE3351">
        <w:t xml:space="preserve">the Asian Development Bank Water Financing Partnership Facility </w:t>
      </w:r>
      <w:r w:rsidR="00E4627B">
        <w:t xml:space="preserve">has </w:t>
      </w:r>
      <w:r w:rsidR="00FF37AA">
        <w:t xml:space="preserve">contributed </w:t>
      </w:r>
      <w:r w:rsidR="00E4627B">
        <w:t xml:space="preserve">to </w:t>
      </w:r>
      <w:r w:rsidR="00EE3351">
        <w:t xml:space="preserve">the provision of </w:t>
      </w:r>
      <w:r w:rsidR="00EE3351" w:rsidRPr="00651F08">
        <w:rPr>
          <w:color w:val="000000"/>
        </w:rPr>
        <w:t>access to safe water supply and improved sanitation for 29 million people</w:t>
      </w:r>
      <w:r w:rsidR="00514ED5">
        <w:rPr>
          <w:color w:val="000000"/>
        </w:rPr>
        <w:t xml:space="preserve"> </w:t>
      </w:r>
      <w:r w:rsidR="00514ED5" w:rsidRPr="007D25C4">
        <w:rPr>
          <w:color w:val="000000"/>
        </w:rPr>
        <w:t xml:space="preserve">in </w:t>
      </w:r>
      <w:r w:rsidR="00B849DB">
        <w:rPr>
          <w:color w:val="000000"/>
        </w:rPr>
        <w:t>South, Central and East Asia.</w:t>
      </w:r>
      <w:r w:rsidR="0075542C">
        <w:t xml:space="preserve">   </w:t>
      </w:r>
      <w:r w:rsidR="00514ED5">
        <w:t xml:space="preserve">Despite these achievements, </w:t>
      </w:r>
      <w:r w:rsidR="004110B3">
        <w:t xml:space="preserve">significant investment is still required to </w:t>
      </w:r>
      <w:r w:rsidR="00555968">
        <w:t>achieve</w:t>
      </w:r>
      <w:r w:rsidR="004110B3">
        <w:t xml:space="preserve"> sustained progress against MDG target 7</w:t>
      </w:r>
      <w:r w:rsidR="00514ED5">
        <w:t>C</w:t>
      </w:r>
      <w:r w:rsidR="004110B3">
        <w:t>.</w:t>
      </w:r>
      <w:r w:rsidR="00431E60">
        <w:t xml:space="preserve">  </w:t>
      </w:r>
    </w:p>
    <w:p w:rsidR="00170F3B" w:rsidRDefault="00514ED5" w:rsidP="008B76F6">
      <w:pPr>
        <w:spacing w:before="120" w:after="120"/>
        <w:ind w:right="-241"/>
      </w:pPr>
      <w:r>
        <w:t>This concept note proposes</w:t>
      </w:r>
      <w:r w:rsidR="0019400A">
        <w:t xml:space="preserve"> that further program design work</w:t>
      </w:r>
      <w:r>
        <w:t xml:space="preserve"> </w:t>
      </w:r>
      <w:r w:rsidR="0019400A">
        <w:t xml:space="preserve">will </w:t>
      </w:r>
      <w:r w:rsidR="00E34E7F">
        <w:t xml:space="preserve">draw on </w:t>
      </w:r>
      <w:r w:rsidR="0019400A">
        <w:t xml:space="preserve">the </w:t>
      </w:r>
      <w:r w:rsidR="00E34E7F">
        <w:t>l</w:t>
      </w:r>
      <w:r w:rsidR="00170F3B">
        <w:t>essons learned</w:t>
      </w:r>
      <w:r w:rsidR="0010678D">
        <w:t xml:space="preserve"> </w:t>
      </w:r>
      <w:r w:rsidR="00860658">
        <w:t xml:space="preserve">from </w:t>
      </w:r>
      <w:r w:rsidR="0010678D">
        <w:t>WSI</w:t>
      </w:r>
      <w:r w:rsidR="00E30627">
        <w:t xml:space="preserve"> and</w:t>
      </w:r>
      <w:r w:rsidR="0019400A">
        <w:t xml:space="preserve"> other</w:t>
      </w:r>
      <w:r w:rsidR="00E30627">
        <w:t xml:space="preserve"> </w:t>
      </w:r>
      <w:r w:rsidR="005F2658">
        <w:t>global</w:t>
      </w:r>
      <w:r w:rsidR="00E30627">
        <w:t xml:space="preserve"> initiatives</w:t>
      </w:r>
      <w:r w:rsidR="00555968">
        <w:t xml:space="preserve"> </w:t>
      </w:r>
      <w:r w:rsidR="0019400A">
        <w:t xml:space="preserve">in the WASH sector </w:t>
      </w:r>
      <w:r w:rsidR="00555968">
        <w:t xml:space="preserve">to </w:t>
      </w:r>
      <w:r w:rsidR="0019400A">
        <w:t xml:space="preserve">continue to </w:t>
      </w:r>
      <w:r w:rsidR="00555968">
        <w:t xml:space="preserve">support </w:t>
      </w:r>
      <w:r w:rsidR="0019400A">
        <w:t>sustained</w:t>
      </w:r>
      <w:r w:rsidR="00555968">
        <w:t xml:space="preserve"> progres</w:t>
      </w:r>
      <w:r w:rsidR="0019400A">
        <w:t>s towards this goal</w:t>
      </w:r>
      <w:r w:rsidR="00E34E7F">
        <w:t>. For example</w:t>
      </w:r>
      <w:r w:rsidR="0010678D">
        <w:t>:</w:t>
      </w:r>
    </w:p>
    <w:p w:rsidR="0010678D" w:rsidRPr="001076F8" w:rsidRDefault="000755CA" w:rsidP="00552F8E">
      <w:pPr>
        <w:numPr>
          <w:ilvl w:val="0"/>
          <w:numId w:val="4"/>
        </w:numPr>
        <w:spacing w:before="120" w:after="120"/>
        <w:rPr>
          <w:b/>
        </w:rPr>
      </w:pPr>
      <w:r w:rsidRPr="001076F8">
        <w:rPr>
          <w:b/>
        </w:rPr>
        <w:t xml:space="preserve">insufficient </w:t>
      </w:r>
      <w:r w:rsidR="001748A0" w:rsidRPr="001076F8">
        <w:rPr>
          <w:b/>
        </w:rPr>
        <w:t>progress has been achieved in halving the number of people without access to improved sanitation. B</w:t>
      </w:r>
      <w:r w:rsidR="00942C3B" w:rsidRPr="001076F8">
        <w:rPr>
          <w:b/>
        </w:rPr>
        <w:t>oth AusAID and partner</w:t>
      </w:r>
      <w:r w:rsidR="006D3203" w:rsidRPr="001076F8">
        <w:rPr>
          <w:b/>
        </w:rPr>
        <w:noBreakHyphen/>
      </w:r>
      <w:r w:rsidR="00942C3B" w:rsidRPr="001076F8">
        <w:rPr>
          <w:b/>
        </w:rPr>
        <w:t xml:space="preserve">led designs </w:t>
      </w:r>
      <w:r w:rsidR="001748A0" w:rsidRPr="001076F8">
        <w:rPr>
          <w:b/>
        </w:rPr>
        <w:t>will need to place a greater emphasis on sanitation</w:t>
      </w:r>
      <w:r w:rsidR="00514ED5" w:rsidRPr="001076F8">
        <w:rPr>
          <w:b/>
        </w:rPr>
        <w:t>;</w:t>
      </w:r>
    </w:p>
    <w:p w:rsidR="00796B71" w:rsidRPr="001076F8" w:rsidRDefault="00796B71" w:rsidP="00796B71">
      <w:pPr>
        <w:numPr>
          <w:ilvl w:val="0"/>
          <w:numId w:val="4"/>
        </w:numPr>
        <w:spacing w:before="120" w:after="120"/>
        <w:rPr>
          <w:b/>
        </w:rPr>
      </w:pPr>
      <w:r w:rsidRPr="001076F8">
        <w:rPr>
          <w:b/>
        </w:rPr>
        <w:t>hygiene promotion and behaviour change have a proven impact on health outcomes.</w:t>
      </w:r>
      <w:r w:rsidR="008840A1" w:rsidRPr="001076F8">
        <w:rPr>
          <w:rStyle w:val="EndnoteReference"/>
          <w:b/>
        </w:rPr>
        <w:endnoteReference w:id="10"/>
      </w:r>
      <w:r w:rsidRPr="001076F8">
        <w:rPr>
          <w:b/>
        </w:rPr>
        <w:t xml:space="preserve"> </w:t>
      </w:r>
      <w:r w:rsidR="005F56B6" w:rsidRPr="001076F8">
        <w:rPr>
          <w:b/>
        </w:rPr>
        <w:t>D</w:t>
      </w:r>
      <w:r w:rsidRPr="001076F8">
        <w:rPr>
          <w:b/>
        </w:rPr>
        <w:t>esigns</w:t>
      </w:r>
      <w:r w:rsidR="00942C3B" w:rsidRPr="001076F8">
        <w:rPr>
          <w:b/>
        </w:rPr>
        <w:t xml:space="preserve"> </w:t>
      </w:r>
      <w:r w:rsidRPr="001076F8">
        <w:rPr>
          <w:b/>
        </w:rPr>
        <w:t>must integrate</w:t>
      </w:r>
      <w:r w:rsidR="00942C3B" w:rsidRPr="001076F8">
        <w:rPr>
          <w:b/>
        </w:rPr>
        <w:t xml:space="preserve"> hygiene into water and sanitation </w:t>
      </w:r>
      <w:r w:rsidRPr="001076F8">
        <w:rPr>
          <w:b/>
        </w:rPr>
        <w:t>activi</w:t>
      </w:r>
      <w:r w:rsidR="000B507A" w:rsidRPr="001076F8">
        <w:rPr>
          <w:b/>
        </w:rPr>
        <w:t>ties</w:t>
      </w:r>
      <w:r w:rsidR="00514ED5" w:rsidRPr="001076F8">
        <w:rPr>
          <w:b/>
        </w:rPr>
        <w:t>;</w:t>
      </w:r>
    </w:p>
    <w:p w:rsidR="00AD3FD7" w:rsidRPr="001076F8" w:rsidRDefault="00CC1BFB" w:rsidP="00070855">
      <w:pPr>
        <w:numPr>
          <w:ilvl w:val="0"/>
          <w:numId w:val="4"/>
        </w:numPr>
        <w:spacing w:before="120" w:after="120"/>
        <w:rPr>
          <w:b/>
        </w:rPr>
      </w:pPr>
      <w:r w:rsidRPr="001076F8">
        <w:rPr>
          <w:b/>
        </w:rPr>
        <w:t>to be effective</w:t>
      </w:r>
      <w:r w:rsidR="0019400A" w:rsidRPr="001076F8">
        <w:rPr>
          <w:b/>
        </w:rPr>
        <w:t>,</w:t>
      </w:r>
      <w:r w:rsidRPr="001076F8">
        <w:rPr>
          <w:b/>
        </w:rPr>
        <w:t xml:space="preserve"> community managed water systems must be supported</w:t>
      </w:r>
      <w:r w:rsidR="001748A0" w:rsidRPr="001076F8">
        <w:rPr>
          <w:b/>
        </w:rPr>
        <w:t xml:space="preserve"> </w:t>
      </w:r>
      <w:r w:rsidRPr="001076F8">
        <w:rPr>
          <w:b/>
        </w:rPr>
        <w:t xml:space="preserve">by institutions that </w:t>
      </w:r>
      <w:r w:rsidR="00312912" w:rsidRPr="001076F8">
        <w:rPr>
          <w:b/>
        </w:rPr>
        <w:t xml:space="preserve">are able to </w:t>
      </w:r>
      <w:r w:rsidRPr="001076F8">
        <w:rPr>
          <w:b/>
        </w:rPr>
        <w:t>provide financial, technical and administrative support</w:t>
      </w:r>
      <w:r w:rsidR="00AD3FD7" w:rsidRPr="001076F8">
        <w:rPr>
          <w:b/>
        </w:rPr>
        <w:t xml:space="preserve">; </w:t>
      </w:r>
    </w:p>
    <w:p w:rsidR="008840A1" w:rsidRPr="001076F8" w:rsidRDefault="00942C3B" w:rsidP="00070855">
      <w:pPr>
        <w:numPr>
          <w:ilvl w:val="0"/>
          <w:numId w:val="4"/>
        </w:numPr>
        <w:spacing w:before="120" w:after="120"/>
        <w:rPr>
          <w:b/>
        </w:rPr>
      </w:pPr>
      <w:r w:rsidRPr="001076F8">
        <w:rPr>
          <w:b/>
        </w:rPr>
        <w:t xml:space="preserve">WASH programs working through government systems are more effective than projects </w:t>
      </w:r>
      <w:r w:rsidR="007D36C0" w:rsidRPr="001076F8">
        <w:rPr>
          <w:b/>
        </w:rPr>
        <w:t xml:space="preserve">that are delivered outside of government </w:t>
      </w:r>
      <w:r w:rsidRPr="001076F8">
        <w:rPr>
          <w:b/>
        </w:rPr>
        <w:t>and</w:t>
      </w:r>
      <w:r w:rsidR="001748A0" w:rsidRPr="001076F8">
        <w:rPr>
          <w:b/>
        </w:rPr>
        <w:t xml:space="preserve"> are</w:t>
      </w:r>
      <w:r w:rsidRPr="001076F8">
        <w:rPr>
          <w:b/>
        </w:rPr>
        <w:t xml:space="preserve"> more likely to </w:t>
      </w:r>
      <w:r w:rsidR="001748A0" w:rsidRPr="001076F8">
        <w:rPr>
          <w:b/>
        </w:rPr>
        <w:t xml:space="preserve">increase </w:t>
      </w:r>
      <w:r w:rsidR="00CD3A4C" w:rsidRPr="001076F8">
        <w:rPr>
          <w:b/>
        </w:rPr>
        <w:t xml:space="preserve">sustained </w:t>
      </w:r>
      <w:r w:rsidR="001748A0" w:rsidRPr="001076F8">
        <w:rPr>
          <w:b/>
        </w:rPr>
        <w:t>coverage and capacity</w:t>
      </w:r>
      <w:r w:rsidR="008840A1" w:rsidRPr="001076F8">
        <w:rPr>
          <w:b/>
        </w:rPr>
        <w:t>;</w:t>
      </w:r>
    </w:p>
    <w:p w:rsidR="008840A1" w:rsidRPr="001076F8" w:rsidRDefault="00D23661" w:rsidP="00070855">
      <w:pPr>
        <w:numPr>
          <w:ilvl w:val="0"/>
          <w:numId w:val="4"/>
        </w:numPr>
        <w:spacing w:before="120" w:after="120"/>
        <w:rPr>
          <w:b/>
        </w:rPr>
      </w:pPr>
      <w:r w:rsidRPr="001076F8">
        <w:rPr>
          <w:b/>
        </w:rPr>
        <w:t xml:space="preserve">the </w:t>
      </w:r>
      <w:r w:rsidR="008840A1" w:rsidRPr="001076F8">
        <w:rPr>
          <w:b/>
        </w:rPr>
        <w:t xml:space="preserve">successful engagement of government </w:t>
      </w:r>
      <w:r w:rsidRPr="001076F8">
        <w:rPr>
          <w:b/>
        </w:rPr>
        <w:t xml:space="preserve">in the WASH sector </w:t>
      </w:r>
      <w:r w:rsidR="008840A1" w:rsidRPr="001076F8">
        <w:rPr>
          <w:b/>
        </w:rPr>
        <w:t>will typically require an investment in the capacity of its staff and an improvement in national policy, planning</w:t>
      </w:r>
      <w:r w:rsidRPr="001076F8">
        <w:rPr>
          <w:b/>
        </w:rPr>
        <w:t>,</w:t>
      </w:r>
      <w:r w:rsidR="008840A1" w:rsidRPr="001076F8">
        <w:rPr>
          <w:b/>
        </w:rPr>
        <w:t xml:space="preserve"> regulation</w:t>
      </w:r>
      <w:r w:rsidRPr="001076F8">
        <w:rPr>
          <w:b/>
        </w:rPr>
        <w:t xml:space="preserve"> and budgeting for recurrent costs</w:t>
      </w:r>
      <w:r w:rsidR="008840A1" w:rsidRPr="001076F8">
        <w:rPr>
          <w:b/>
        </w:rPr>
        <w:t>; and</w:t>
      </w:r>
    </w:p>
    <w:p w:rsidR="00552F8E" w:rsidRPr="001076F8" w:rsidRDefault="008840A1" w:rsidP="00070855">
      <w:pPr>
        <w:numPr>
          <w:ilvl w:val="0"/>
          <w:numId w:val="4"/>
        </w:numPr>
        <w:spacing w:before="120" w:after="120"/>
        <w:rPr>
          <w:b/>
        </w:rPr>
      </w:pPr>
      <w:r w:rsidRPr="001076F8">
        <w:rPr>
          <w:b/>
        </w:rPr>
        <w:t xml:space="preserve">it is important to support and document successful innovation and ensure that programs are able to </w:t>
      </w:r>
      <w:r w:rsidR="001E493D" w:rsidRPr="001076F8">
        <w:rPr>
          <w:b/>
        </w:rPr>
        <w:t>keep pace</w:t>
      </w:r>
      <w:r w:rsidRPr="001076F8">
        <w:rPr>
          <w:b/>
        </w:rPr>
        <w:t xml:space="preserve"> </w:t>
      </w:r>
      <w:r w:rsidR="001E493D" w:rsidRPr="001076F8">
        <w:rPr>
          <w:b/>
        </w:rPr>
        <w:t>with</w:t>
      </w:r>
      <w:r w:rsidRPr="001076F8">
        <w:rPr>
          <w:b/>
        </w:rPr>
        <w:t xml:space="preserve"> the development of good practice in WASH</w:t>
      </w:r>
      <w:r w:rsidR="00430D42" w:rsidRPr="001076F8">
        <w:rPr>
          <w:b/>
        </w:rPr>
        <w:t>.</w:t>
      </w:r>
    </w:p>
    <w:p w:rsidR="009751BB" w:rsidRDefault="009751BB" w:rsidP="00F74897">
      <w:pPr>
        <w:spacing w:before="120" w:after="120"/>
        <w:ind w:right="-99"/>
      </w:pPr>
      <w:r w:rsidRPr="001757F5">
        <w:t xml:space="preserve">The significance of WASH </w:t>
      </w:r>
      <w:r w:rsidR="00431E60">
        <w:t xml:space="preserve">in </w:t>
      </w:r>
      <w:r w:rsidRPr="001757F5">
        <w:t xml:space="preserve">the aid program </w:t>
      </w:r>
      <w:r>
        <w:t>has been reinforced through the 2011–</w:t>
      </w:r>
      <w:r w:rsidRPr="001757F5">
        <w:t>12 Budget</w:t>
      </w:r>
      <w:r>
        <w:t xml:space="preserve"> </w:t>
      </w:r>
      <w:r w:rsidRPr="001757F5">
        <w:t>which provides $4</w:t>
      </w:r>
      <w:r>
        <w:t xml:space="preserve">33.1 million in </w:t>
      </w:r>
      <w:r w:rsidR="003038D5">
        <w:t xml:space="preserve">new </w:t>
      </w:r>
      <w:r>
        <w:t>funding for the sector</w:t>
      </w:r>
      <w:r w:rsidR="00431E60">
        <w:t xml:space="preserve"> to 2014–15</w:t>
      </w:r>
      <w:r w:rsidRPr="001757F5">
        <w:t>. This funding will complement existing funding sources (</w:t>
      </w:r>
      <w:r w:rsidR="00431E60">
        <w:t xml:space="preserve">eg </w:t>
      </w:r>
      <w:r>
        <w:t xml:space="preserve">base appropriations and the </w:t>
      </w:r>
      <w:r w:rsidRPr="001757F5">
        <w:t>Infrastructure for Growth Initiative</w:t>
      </w:r>
      <w:r>
        <w:t>)</w:t>
      </w:r>
      <w:r w:rsidRPr="001757F5">
        <w:t xml:space="preserve"> for a combined total of aroun</w:t>
      </w:r>
      <w:r>
        <w:t xml:space="preserve">d $1 billion </w:t>
      </w:r>
      <w:r w:rsidR="0019400A">
        <w:t>from 2011</w:t>
      </w:r>
      <w:r w:rsidR="0019400A">
        <w:noBreakHyphen/>
        <w:t xml:space="preserve">12 </w:t>
      </w:r>
      <w:r>
        <w:t>to 2015–</w:t>
      </w:r>
      <w:r w:rsidRPr="001757F5">
        <w:t>16</w:t>
      </w:r>
      <w:r>
        <w:t>.</w:t>
      </w:r>
    </w:p>
    <w:p w:rsidR="009751BB" w:rsidRDefault="009751BB" w:rsidP="009751BB">
      <w:pPr>
        <w:spacing w:before="120" w:after="120"/>
      </w:pPr>
      <w:r>
        <w:t xml:space="preserve">The majority of </w:t>
      </w:r>
      <w:r w:rsidR="006D3203">
        <w:t xml:space="preserve">this </w:t>
      </w:r>
      <w:r>
        <w:t>funding will be managed and delivered by country and regional programs (approximately 80% or $</w:t>
      </w:r>
      <w:r w:rsidR="00045F2C">
        <w:t>740</w:t>
      </w:r>
      <w:r>
        <w:t xml:space="preserve"> million to 2015–16). Key programs will include </w:t>
      </w:r>
      <w:r w:rsidR="0075542C">
        <w:t xml:space="preserve">in </w:t>
      </w:r>
      <w:r>
        <w:t>Malawi, Mozambique, Zambia and Zimbabwe in Africa, East Timor, Indonesia and Vietnam in East Asia and the Solomon Islands in the Pacific. These programs have a history of funding through the WSI and represent AusAID</w:t>
      </w:r>
      <w:r w:rsidR="003038D5">
        <w:t>’s primary investments in WASH.</w:t>
      </w:r>
    </w:p>
    <w:p w:rsidR="002036D7" w:rsidRPr="00387D56" w:rsidRDefault="009751BB" w:rsidP="009751BB">
      <w:pPr>
        <w:spacing w:before="120" w:after="120"/>
      </w:pPr>
      <w:r>
        <w:t xml:space="preserve">The scope of the WASH investment </w:t>
      </w:r>
      <w:r w:rsidR="00723B1E">
        <w:t xml:space="preserve">in country and regional programs </w:t>
      </w:r>
      <w:r>
        <w:t xml:space="preserve">will be complemented by </w:t>
      </w:r>
      <w:r w:rsidR="00723B1E">
        <w:t>the</w:t>
      </w:r>
      <w:r>
        <w:t xml:space="preserve"> allocation</w:t>
      </w:r>
      <w:r w:rsidR="001B133D">
        <w:t xml:space="preserve"> of an estimated $</w:t>
      </w:r>
      <w:r w:rsidR="002A57A2">
        <w:t>26</w:t>
      </w:r>
      <w:r w:rsidR="006D3203">
        <w:t>0</w:t>
      </w:r>
      <w:r w:rsidR="001B133D">
        <w:t xml:space="preserve"> million</w:t>
      </w:r>
      <w:r>
        <w:t xml:space="preserve"> to </w:t>
      </w:r>
      <w:r w:rsidR="00723B1E">
        <w:t xml:space="preserve">SPD </w:t>
      </w:r>
      <w:r w:rsidR="001B133D">
        <w:t>from 2011</w:t>
      </w:r>
      <w:r w:rsidR="00652D34">
        <w:noBreakHyphen/>
      </w:r>
      <w:r w:rsidR="001B133D">
        <w:t>12 to 2015</w:t>
      </w:r>
      <w:r w:rsidR="00652D34">
        <w:noBreakHyphen/>
      </w:r>
      <w:r w:rsidR="001B133D">
        <w:t xml:space="preserve">16 </w:t>
      </w:r>
      <w:r w:rsidR="00723B1E">
        <w:t xml:space="preserve">to </w:t>
      </w:r>
      <w:r>
        <w:t>resource global and cross–</w:t>
      </w:r>
      <w:r w:rsidRPr="001757F5">
        <w:t>regional programs and activities</w:t>
      </w:r>
      <w:r w:rsidRPr="006D5DB8">
        <w:t>.</w:t>
      </w:r>
      <w:r w:rsidR="00045F2C">
        <w:t xml:space="preserve">  This </w:t>
      </w:r>
      <w:r w:rsidR="00723B1E" w:rsidRPr="00387D56">
        <w:t xml:space="preserve">allocation will </w:t>
      </w:r>
      <w:r w:rsidR="00C9470F">
        <w:t>focus on programs and activities which will complement and support country and regional programs including by:</w:t>
      </w:r>
    </w:p>
    <w:p w:rsidR="00A31529" w:rsidRDefault="00A31529" w:rsidP="00F74897">
      <w:pPr>
        <w:numPr>
          <w:ilvl w:val="0"/>
          <w:numId w:val="4"/>
        </w:numPr>
        <w:spacing w:before="120" w:after="120"/>
      </w:pPr>
      <w:r w:rsidRPr="00F74897">
        <w:t xml:space="preserve">extending the geographic impact of AusAID’s </w:t>
      </w:r>
      <w:r>
        <w:t>WASH investment</w:t>
      </w:r>
      <w:r w:rsidRPr="00F74897">
        <w:t xml:space="preserve"> into areas where AusAID is not well represented or is </w:t>
      </w:r>
      <w:r>
        <w:t xml:space="preserve">not </w:t>
      </w:r>
      <w:r w:rsidRPr="00F74897">
        <w:t>commencing a program of interventions</w:t>
      </w:r>
      <w:r>
        <w:t>;</w:t>
      </w:r>
    </w:p>
    <w:p w:rsidR="00A31529" w:rsidRPr="00F74897" w:rsidRDefault="00A31529" w:rsidP="00F74897">
      <w:pPr>
        <w:numPr>
          <w:ilvl w:val="0"/>
          <w:numId w:val="4"/>
        </w:numPr>
        <w:spacing w:before="120" w:after="120"/>
      </w:pPr>
      <w:r>
        <w:t xml:space="preserve">supporting innovation and improving the </w:t>
      </w:r>
      <w:r w:rsidR="00A71CF2">
        <w:t>evidence</w:t>
      </w:r>
      <w:r>
        <w:t xml:space="preserve"> base for good practice by working with leading edge organisations (including academia, multilateral agencies and CSOs);</w:t>
      </w:r>
    </w:p>
    <w:p w:rsidR="00F968B0" w:rsidRPr="00F74897" w:rsidRDefault="009215A5" w:rsidP="00F74897">
      <w:pPr>
        <w:numPr>
          <w:ilvl w:val="0"/>
          <w:numId w:val="4"/>
        </w:numPr>
        <w:spacing w:before="120" w:after="120"/>
      </w:pPr>
      <w:r w:rsidRPr="00F74897">
        <w:t xml:space="preserve">supporting </w:t>
      </w:r>
      <w:r w:rsidR="00387D56" w:rsidRPr="00F74897">
        <w:t xml:space="preserve">the design and implementation of </w:t>
      </w:r>
      <w:r w:rsidR="00F968B0" w:rsidRPr="00F74897">
        <w:t>activities funded bilaterally</w:t>
      </w:r>
      <w:r w:rsidR="00387D56" w:rsidRPr="00F74897">
        <w:t xml:space="preserve"> including through </w:t>
      </w:r>
      <w:r w:rsidR="00A31529">
        <w:t>the development of analytical tools</w:t>
      </w:r>
      <w:r w:rsidR="00C9470F">
        <w:t>;</w:t>
      </w:r>
    </w:p>
    <w:p w:rsidR="00E61C9F" w:rsidRPr="00F74897" w:rsidRDefault="00E61C9F" w:rsidP="00F74897">
      <w:pPr>
        <w:numPr>
          <w:ilvl w:val="0"/>
          <w:numId w:val="4"/>
        </w:numPr>
        <w:spacing w:before="120" w:after="120"/>
      </w:pPr>
      <w:r w:rsidRPr="00F74897">
        <w:lastRenderedPageBreak/>
        <w:t xml:space="preserve">funding activities </w:t>
      </w:r>
      <w:r w:rsidR="00B243E1">
        <w:t>that</w:t>
      </w:r>
      <w:r w:rsidR="00B243E1" w:rsidRPr="00F74897">
        <w:t xml:space="preserve"> </w:t>
      </w:r>
      <w:r w:rsidRPr="00F74897">
        <w:t xml:space="preserve">focus </w:t>
      </w:r>
      <w:r w:rsidR="001421C1">
        <w:t xml:space="preserve">on </w:t>
      </w:r>
      <w:r w:rsidRPr="00F74897">
        <w:t xml:space="preserve">strengthening the enabling environment </w:t>
      </w:r>
      <w:r w:rsidR="00387D56" w:rsidRPr="00F74897">
        <w:t>at the regional, national and local level</w:t>
      </w:r>
      <w:r w:rsidR="00233A0B">
        <w:t>s</w:t>
      </w:r>
      <w:r w:rsidR="00387D56" w:rsidRPr="00F74897">
        <w:t xml:space="preserve"> to support improved and more sustainable outcomes</w:t>
      </w:r>
      <w:r w:rsidR="00C9470F">
        <w:t>;</w:t>
      </w:r>
      <w:r w:rsidR="00B243E1">
        <w:t xml:space="preserve"> and</w:t>
      </w:r>
    </w:p>
    <w:p w:rsidR="00F968B0" w:rsidRPr="00F74897" w:rsidRDefault="009215A5" w:rsidP="00F74897">
      <w:pPr>
        <w:numPr>
          <w:ilvl w:val="0"/>
          <w:numId w:val="4"/>
        </w:numPr>
        <w:spacing w:before="120" w:after="120"/>
      </w:pPr>
      <w:r w:rsidRPr="00F74897">
        <w:t xml:space="preserve">influencing multilateral partner </w:t>
      </w:r>
      <w:r w:rsidR="00045F2C">
        <w:t xml:space="preserve">programs and policies to look for opportunities to </w:t>
      </w:r>
      <w:r w:rsidRPr="00F74897">
        <w:t>align with Australia’s aid priorities</w:t>
      </w:r>
      <w:r w:rsidR="00E61C9F" w:rsidRPr="00F74897">
        <w:t xml:space="preserve"> and </w:t>
      </w:r>
      <w:r w:rsidR="001421C1">
        <w:t>to engage more closely with our bilateral programs.</w:t>
      </w:r>
    </w:p>
    <w:p w:rsidR="00A46C04" w:rsidRPr="00A46C04" w:rsidRDefault="00A46C04" w:rsidP="00A46C04">
      <w:pPr>
        <w:spacing w:before="240" w:after="240"/>
        <w:rPr>
          <w:b/>
        </w:rPr>
      </w:pPr>
      <w:r w:rsidRPr="001757F5">
        <w:rPr>
          <w:b/>
        </w:rPr>
        <w:t xml:space="preserve">Proposed </w:t>
      </w:r>
      <w:r>
        <w:rPr>
          <w:b/>
        </w:rPr>
        <w:t>G</w:t>
      </w:r>
      <w:r w:rsidRPr="00A46C04">
        <w:rPr>
          <w:b/>
        </w:rPr>
        <w:t xml:space="preserve">lobal and </w:t>
      </w:r>
      <w:r>
        <w:rPr>
          <w:b/>
        </w:rPr>
        <w:t>C</w:t>
      </w:r>
      <w:r w:rsidRPr="00A46C04">
        <w:rPr>
          <w:b/>
        </w:rPr>
        <w:t>ross–</w:t>
      </w:r>
      <w:r>
        <w:rPr>
          <w:b/>
        </w:rPr>
        <w:t>R</w:t>
      </w:r>
      <w:r w:rsidRPr="00A46C04">
        <w:rPr>
          <w:b/>
        </w:rPr>
        <w:t xml:space="preserve">egional </w:t>
      </w:r>
      <w:r>
        <w:rPr>
          <w:b/>
        </w:rPr>
        <w:t>P</w:t>
      </w:r>
      <w:r w:rsidRPr="00A46C04">
        <w:rPr>
          <w:b/>
        </w:rPr>
        <w:t xml:space="preserve">rograms and </w:t>
      </w:r>
      <w:r>
        <w:rPr>
          <w:b/>
        </w:rPr>
        <w:t>A</w:t>
      </w:r>
      <w:r w:rsidRPr="00A46C04">
        <w:rPr>
          <w:b/>
        </w:rPr>
        <w:t>ctivities</w:t>
      </w:r>
    </w:p>
    <w:p w:rsidR="00AF1182" w:rsidRDefault="008526CE" w:rsidP="00A46C04">
      <w:pPr>
        <w:spacing w:before="120" w:after="120"/>
        <w:ind w:right="-144"/>
      </w:pPr>
      <w:r w:rsidRPr="008B76F6">
        <w:t xml:space="preserve">This </w:t>
      </w:r>
      <w:r w:rsidR="00E30D9B" w:rsidRPr="008B76F6">
        <w:t>section identifies</w:t>
      </w:r>
      <w:r w:rsidRPr="008B76F6">
        <w:t xml:space="preserve"> the primary activities to be resourced through the SPD</w:t>
      </w:r>
      <w:r w:rsidR="00E30D9B" w:rsidRPr="008B76F6">
        <w:t xml:space="preserve"> WASH</w:t>
      </w:r>
      <w:r w:rsidRPr="008B76F6">
        <w:t xml:space="preserve"> allocation.</w:t>
      </w:r>
      <w:r w:rsidR="00A46C04" w:rsidRPr="008B76F6">
        <w:t xml:space="preserve"> </w:t>
      </w:r>
      <w:r w:rsidR="008B3F31" w:rsidRPr="008B76F6">
        <w:t>T</w:t>
      </w:r>
      <w:r w:rsidR="00094CB0" w:rsidRPr="008B76F6">
        <w:t xml:space="preserve">he core </w:t>
      </w:r>
      <w:r w:rsidR="0057585B" w:rsidRPr="008B76F6">
        <w:t>objective</w:t>
      </w:r>
      <w:r w:rsidR="00094CB0" w:rsidRPr="008B76F6">
        <w:t xml:space="preserve"> for the package of activities</w:t>
      </w:r>
      <w:r w:rsidR="00D90B0A" w:rsidRPr="008B76F6">
        <w:t xml:space="preserve"> </w:t>
      </w:r>
      <w:r w:rsidR="00094CB0" w:rsidRPr="008B76F6">
        <w:t>will b</w:t>
      </w:r>
      <w:r w:rsidR="00AF1182" w:rsidRPr="008B76F6">
        <w:t>e “saving lives” through “</w:t>
      </w:r>
      <w:r w:rsidR="008B3F31" w:rsidRPr="008B76F6">
        <w:t>i</w:t>
      </w:r>
      <w:r w:rsidR="00E67EBC" w:rsidRPr="008B76F6">
        <w:t xml:space="preserve">mproving </w:t>
      </w:r>
      <w:r w:rsidR="008B3F31" w:rsidRPr="008B76F6">
        <w:t>p</w:t>
      </w:r>
      <w:r w:rsidR="00E67EBC" w:rsidRPr="008B76F6">
        <w:t xml:space="preserve">ublic </w:t>
      </w:r>
      <w:r w:rsidR="008B3F31" w:rsidRPr="008B76F6">
        <w:t>h</w:t>
      </w:r>
      <w:r w:rsidR="00E67EBC" w:rsidRPr="008B76F6">
        <w:t xml:space="preserve">ealth by </w:t>
      </w:r>
      <w:r w:rsidR="008B3F31" w:rsidRPr="008B76F6">
        <w:t>i</w:t>
      </w:r>
      <w:r w:rsidR="00E67EBC" w:rsidRPr="008B76F6">
        <w:t xml:space="preserve">ncreasing </w:t>
      </w:r>
      <w:r w:rsidR="008B3F31" w:rsidRPr="008B76F6">
        <w:t>a</w:t>
      </w:r>
      <w:r w:rsidR="00E67EBC" w:rsidRPr="008B76F6">
        <w:t xml:space="preserve">ccess to </w:t>
      </w:r>
      <w:r w:rsidR="008B3F31" w:rsidRPr="008B76F6">
        <w:t>s</w:t>
      </w:r>
      <w:r w:rsidR="00E67EBC" w:rsidRPr="008B76F6">
        <w:t xml:space="preserve">afe </w:t>
      </w:r>
      <w:r w:rsidR="008B3F31" w:rsidRPr="008B76F6">
        <w:t>w</w:t>
      </w:r>
      <w:r w:rsidR="00E67EBC" w:rsidRPr="008B76F6">
        <w:t xml:space="preserve">ater and </w:t>
      </w:r>
      <w:r w:rsidR="008B3F31" w:rsidRPr="008B76F6">
        <w:t>s</w:t>
      </w:r>
      <w:r w:rsidR="00E67EBC" w:rsidRPr="008B76F6">
        <w:t>anitation</w:t>
      </w:r>
      <w:r w:rsidR="00AF1182" w:rsidRPr="008B76F6">
        <w:t>”</w:t>
      </w:r>
      <w:r w:rsidR="00E67EBC" w:rsidRPr="008B76F6">
        <w:t>.</w:t>
      </w:r>
      <w:r w:rsidR="00AF1182">
        <w:t xml:space="preserve">  </w:t>
      </w:r>
      <w:r w:rsidR="00094CB0">
        <w:t xml:space="preserve">Programming will be further guided by </w:t>
      </w:r>
      <w:r w:rsidR="00AF1182">
        <w:t xml:space="preserve">AusAID’s </w:t>
      </w:r>
      <w:r w:rsidR="00226AD4">
        <w:t>T</w:t>
      </w:r>
      <w:r w:rsidR="00D90B0A">
        <w:t xml:space="preserve">hematic </w:t>
      </w:r>
      <w:r w:rsidR="00226AD4">
        <w:t>S</w:t>
      </w:r>
      <w:r w:rsidR="00D90B0A">
        <w:t>trategy</w:t>
      </w:r>
      <w:r w:rsidR="00094CB0">
        <w:t xml:space="preserve"> </w:t>
      </w:r>
      <w:r w:rsidR="00AF1182">
        <w:t xml:space="preserve">on WASH </w:t>
      </w:r>
      <w:r w:rsidR="00226AD4">
        <w:t xml:space="preserve">which </w:t>
      </w:r>
      <w:r w:rsidR="00E67EBC" w:rsidRPr="001757F5">
        <w:t>outlines the policy</w:t>
      </w:r>
      <w:r w:rsidR="00094CB0">
        <w:t xml:space="preserve"> framework</w:t>
      </w:r>
      <w:r w:rsidR="00E67EBC" w:rsidRPr="001757F5">
        <w:t xml:space="preserve"> </w:t>
      </w:r>
      <w:r w:rsidR="00094CB0">
        <w:t>for</w:t>
      </w:r>
      <w:r w:rsidR="00C75126">
        <w:t xml:space="preserve"> </w:t>
      </w:r>
      <w:r w:rsidR="00AF1182">
        <w:t xml:space="preserve">our </w:t>
      </w:r>
      <w:r w:rsidR="00C75126">
        <w:t>investments in</w:t>
      </w:r>
      <w:r w:rsidR="00226AD4">
        <w:t xml:space="preserve"> this sector</w:t>
      </w:r>
      <w:r w:rsidR="005B6484">
        <w:t xml:space="preserve">. </w:t>
      </w:r>
      <w:r w:rsidR="008B3F31">
        <w:t xml:space="preserve">Further detail is provided in </w:t>
      </w:r>
      <w:r w:rsidR="008B3F31" w:rsidRPr="005D1DF5">
        <w:rPr>
          <w:u w:val="single"/>
        </w:rPr>
        <w:t xml:space="preserve">Annex </w:t>
      </w:r>
      <w:r w:rsidR="00186065">
        <w:rPr>
          <w:u w:val="single"/>
        </w:rPr>
        <w:t>1</w:t>
      </w:r>
      <w:r w:rsidR="00AF1182">
        <w:t>.</w:t>
      </w:r>
    </w:p>
    <w:p w:rsidR="00226AD4" w:rsidRDefault="00A46C04" w:rsidP="008B76F6">
      <w:pPr>
        <w:spacing w:before="120" w:after="120"/>
        <w:ind w:right="-144"/>
      </w:pPr>
      <w:r>
        <w:t>It is proposed that the</w:t>
      </w:r>
      <w:r w:rsidR="00E67EBC">
        <w:t xml:space="preserve"> package of</w:t>
      </w:r>
      <w:r>
        <w:t xml:space="preserve"> </w:t>
      </w:r>
      <w:r w:rsidRPr="001757F5">
        <w:t>activities will be resourced through to 2015</w:t>
      </w:r>
      <w:r>
        <w:t>–</w:t>
      </w:r>
      <w:r w:rsidRPr="001757F5">
        <w:t>16</w:t>
      </w:r>
      <w:r w:rsidR="00C75126">
        <w:t xml:space="preserve"> </w:t>
      </w:r>
      <w:r w:rsidR="0047651E">
        <w:t>at</w:t>
      </w:r>
      <w:r w:rsidR="00C75126">
        <w:t xml:space="preserve"> a total cost of </w:t>
      </w:r>
      <w:r w:rsidR="00226AD4">
        <w:t xml:space="preserve">around </w:t>
      </w:r>
      <w:r w:rsidR="00C75126">
        <w:t>$2</w:t>
      </w:r>
      <w:r w:rsidR="00226AD4">
        <w:t>60</w:t>
      </w:r>
      <w:r w:rsidR="00C75126">
        <w:t xml:space="preserve"> million</w:t>
      </w:r>
      <w:r w:rsidRPr="001757F5">
        <w:t xml:space="preserve">. </w:t>
      </w:r>
      <w:r w:rsidR="00226AD4">
        <w:t xml:space="preserve"> The p</w:t>
      </w:r>
      <w:r w:rsidR="00226AD4" w:rsidRPr="00004965">
        <w:t>roposed budget allocations for each activity</w:t>
      </w:r>
      <w:r w:rsidR="00AF1182">
        <w:t xml:space="preserve"> </w:t>
      </w:r>
      <w:r w:rsidR="00065DD0">
        <w:t>based on current projections</w:t>
      </w:r>
      <w:r w:rsidR="00226AD4" w:rsidRPr="00004965">
        <w:t xml:space="preserve"> are listed in more detail in </w:t>
      </w:r>
      <w:r w:rsidR="00226AD4" w:rsidRPr="00004965">
        <w:rPr>
          <w:u w:val="single"/>
        </w:rPr>
        <w:t xml:space="preserve">Annex </w:t>
      </w:r>
      <w:r w:rsidR="00226AD4">
        <w:rPr>
          <w:u w:val="single"/>
        </w:rPr>
        <w:t>1</w:t>
      </w:r>
      <w:r w:rsidR="00226AD4" w:rsidRPr="00004965">
        <w:t>.</w:t>
      </w:r>
      <w:r w:rsidR="00AF1182">
        <w:t xml:space="preserve">  </w:t>
      </w:r>
    </w:p>
    <w:p w:rsidR="00A46C04" w:rsidRDefault="00A46C04" w:rsidP="00A46C04">
      <w:pPr>
        <w:spacing w:before="120" w:after="120"/>
        <w:ind w:right="-286"/>
      </w:pPr>
      <w:r>
        <w:t>The proposed activities are:</w:t>
      </w:r>
    </w:p>
    <w:p w:rsidR="005D0A9E" w:rsidRPr="001757F5" w:rsidRDefault="005D0A9E" w:rsidP="005D0A9E">
      <w:pPr>
        <w:numPr>
          <w:ilvl w:val="0"/>
          <w:numId w:val="8"/>
        </w:numPr>
        <w:tabs>
          <w:tab w:val="left" w:pos="426"/>
        </w:tabs>
        <w:spacing w:before="240" w:after="240"/>
        <w:ind w:left="437" w:hanging="437"/>
        <w:rPr>
          <w:b/>
        </w:rPr>
      </w:pPr>
      <w:r w:rsidRPr="001757F5">
        <w:rPr>
          <w:b/>
        </w:rPr>
        <w:t>Multilateral Programs</w:t>
      </w:r>
    </w:p>
    <w:p w:rsidR="009215A5" w:rsidRDefault="005D0A9E" w:rsidP="00D35A7B">
      <w:pPr>
        <w:spacing w:after="120"/>
      </w:pPr>
      <w:r w:rsidRPr="001757F5">
        <w:t>This activity will fund a selection of multilateral agencies with a proven record of leading edge expertise in the WASH sector and ef</w:t>
      </w:r>
      <w:r w:rsidR="00531AAB">
        <w:t xml:space="preserve">fectiveness </w:t>
      </w:r>
      <w:r w:rsidR="00AF1182">
        <w:t xml:space="preserve">and efficiency </w:t>
      </w:r>
      <w:r w:rsidR="00531AAB">
        <w:t>in delivering aid.</w:t>
      </w:r>
      <w:r w:rsidR="00CC14F6">
        <w:t xml:space="preserve">  The types of activities </w:t>
      </w:r>
      <w:r w:rsidR="009215A5">
        <w:t>expecte</w:t>
      </w:r>
      <w:r w:rsidR="00AF1182">
        <w:t xml:space="preserve">d </w:t>
      </w:r>
      <w:r w:rsidR="009215A5">
        <w:t>to be funded</w:t>
      </w:r>
      <w:r w:rsidR="00AF1182">
        <w:t xml:space="preserve"> </w:t>
      </w:r>
      <w:r w:rsidR="009215A5">
        <w:t>include:</w:t>
      </w:r>
    </w:p>
    <w:p w:rsidR="00E035F1" w:rsidRPr="00571DBD" w:rsidRDefault="00E035F1" w:rsidP="00E035F1">
      <w:pPr>
        <w:numPr>
          <w:ilvl w:val="0"/>
          <w:numId w:val="4"/>
        </w:numPr>
        <w:spacing w:before="120" w:after="120"/>
        <w:rPr>
          <w:color w:val="000000"/>
        </w:rPr>
      </w:pPr>
      <w:r>
        <w:rPr>
          <w:color w:val="000000"/>
        </w:rPr>
        <w:t>researching and trialling innovative approaches to improving sustainable access to water, sanitation and improved hygiene behaviour</w:t>
      </w:r>
    </w:p>
    <w:p w:rsidR="009215A5" w:rsidRPr="00F74897" w:rsidRDefault="00E644D6" w:rsidP="00D35A7B">
      <w:pPr>
        <w:numPr>
          <w:ilvl w:val="0"/>
          <w:numId w:val="4"/>
        </w:numPr>
        <w:spacing w:after="120"/>
        <w:ind w:left="714" w:hanging="357"/>
        <w:rPr>
          <w:color w:val="000000"/>
        </w:rPr>
      </w:pPr>
      <w:r>
        <w:rPr>
          <w:color w:val="000000"/>
        </w:rPr>
        <w:t xml:space="preserve">working directly with governments to </w:t>
      </w:r>
      <w:r w:rsidR="009215A5" w:rsidRPr="00F74897">
        <w:rPr>
          <w:color w:val="000000"/>
        </w:rPr>
        <w:t>improv</w:t>
      </w:r>
      <w:r>
        <w:rPr>
          <w:color w:val="000000"/>
        </w:rPr>
        <w:t>e</w:t>
      </w:r>
      <w:r w:rsidR="009215A5" w:rsidRPr="00F74897">
        <w:rPr>
          <w:color w:val="000000"/>
        </w:rPr>
        <w:t xml:space="preserve"> services in line with country policies, such as connecting homes and </w:t>
      </w:r>
      <w:r w:rsidR="009215A5" w:rsidRPr="00D35A7B">
        <w:t>schools</w:t>
      </w:r>
      <w:r w:rsidR="009215A5" w:rsidRPr="00F74897">
        <w:rPr>
          <w:color w:val="000000"/>
        </w:rPr>
        <w:t xml:space="preserve"> to clean water sources;</w:t>
      </w:r>
      <w:r w:rsidR="00622B5A">
        <w:rPr>
          <w:color w:val="000000"/>
        </w:rPr>
        <w:t xml:space="preserve"> and</w:t>
      </w:r>
    </w:p>
    <w:p w:rsidR="00881771" w:rsidRPr="00F74897" w:rsidRDefault="00EC3D8F" w:rsidP="00F74897">
      <w:pPr>
        <w:pStyle w:val="ListParagraph"/>
        <w:numPr>
          <w:ilvl w:val="0"/>
          <w:numId w:val="21"/>
        </w:numPr>
        <w:rPr>
          <w:color w:val="000000"/>
        </w:rPr>
      </w:pPr>
      <w:r>
        <w:rPr>
          <w:color w:val="000000"/>
        </w:rPr>
        <w:t xml:space="preserve">using technical assistance to </w:t>
      </w:r>
      <w:r w:rsidR="009215A5" w:rsidRPr="00F74897">
        <w:rPr>
          <w:color w:val="000000"/>
        </w:rPr>
        <w:t>strengthen national policy, coordination and institutional development to support sustainable service delivery options</w:t>
      </w:r>
      <w:r w:rsidR="00531AAB">
        <w:t>.</w:t>
      </w:r>
    </w:p>
    <w:p w:rsidR="00881771" w:rsidRDefault="004B350D" w:rsidP="00881771">
      <w:pPr>
        <w:spacing w:before="120" w:after="120"/>
        <w:ind w:hanging="11"/>
      </w:pPr>
      <w:r>
        <w:t>These p</w:t>
      </w:r>
      <w:r w:rsidR="00881771">
        <w:t xml:space="preserve">artnerships have the potential to </w:t>
      </w:r>
      <w:r w:rsidR="0040569B">
        <w:t xml:space="preserve">extend the coverage </w:t>
      </w:r>
      <w:r w:rsidR="00F52FAE">
        <w:t xml:space="preserve">and effectiveness </w:t>
      </w:r>
      <w:r w:rsidR="0040569B">
        <w:t xml:space="preserve">of </w:t>
      </w:r>
      <w:r w:rsidR="00881771" w:rsidRPr="001757F5">
        <w:t>AusAID</w:t>
      </w:r>
      <w:r w:rsidR="00881771">
        <w:t xml:space="preserve">’s WASH </w:t>
      </w:r>
      <w:r w:rsidR="0040569B">
        <w:t>investment.</w:t>
      </w:r>
      <w:r w:rsidR="00881771">
        <w:t xml:space="preserve"> </w:t>
      </w:r>
      <w:r w:rsidR="00CC14F6">
        <w:t xml:space="preserve">These arrangements </w:t>
      </w:r>
      <w:r w:rsidR="00CF19F7">
        <w:t xml:space="preserve">will </w:t>
      </w:r>
      <w:r w:rsidR="007D25C4">
        <w:t xml:space="preserve">allow AusAID to </w:t>
      </w:r>
      <w:r w:rsidR="00CC14F6">
        <w:t xml:space="preserve">have a greater </w:t>
      </w:r>
      <w:r w:rsidR="007D25C4" w:rsidRPr="00676CAF">
        <w:t xml:space="preserve">influence </w:t>
      </w:r>
      <w:r w:rsidR="00CC14F6">
        <w:t xml:space="preserve">over </w:t>
      </w:r>
      <w:r w:rsidR="007D25C4">
        <w:t xml:space="preserve">strategic directions and policy agendas </w:t>
      </w:r>
      <w:r w:rsidR="00CC14F6">
        <w:t xml:space="preserve">of </w:t>
      </w:r>
      <w:r w:rsidR="007D25C4" w:rsidRPr="00676CAF">
        <w:t>multilatera</w:t>
      </w:r>
      <w:r w:rsidR="007D25C4">
        <w:t xml:space="preserve">l </w:t>
      </w:r>
      <w:r w:rsidR="00AF1182">
        <w:t>organisations</w:t>
      </w:r>
      <w:r w:rsidR="007D25C4">
        <w:t xml:space="preserve"> and </w:t>
      </w:r>
      <w:r w:rsidR="00CF19F7">
        <w:t xml:space="preserve">to look for opportunities to </w:t>
      </w:r>
      <w:r w:rsidR="003729DD">
        <w:t>align them more closely to the direction of Australia’s new aid policy</w:t>
      </w:r>
      <w:r w:rsidR="00AF1182">
        <w:t xml:space="preserve"> and AusAID’s bilateral priorities</w:t>
      </w:r>
      <w:r w:rsidR="003729DD">
        <w:t xml:space="preserve">.  This activity will also </w:t>
      </w:r>
      <w:r w:rsidR="00AF1182">
        <w:t xml:space="preserve">allow </w:t>
      </w:r>
      <w:r w:rsidR="00233A0B">
        <w:t xml:space="preserve">AusAID to capitalise on the </w:t>
      </w:r>
      <w:r w:rsidR="00AF1182">
        <w:t>significant inve</w:t>
      </w:r>
      <w:r w:rsidR="00CF19F7">
        <w:t xml:space="preserve">stment that </w:t>
      </w:r>
      <w:r w:rsidR="00AF1182">
        <w:t>m</w:t>
      </w:r>
      <w:r w:rsidR="00233A0B">
        <w:t xml:space="preserve">ultilateral partners are making to strengthen </w:t>
      </w:r>
      <w:r w:rsidR="00233A0B" w:rsidRPr="00F74897">
        <w:t>th</w:t>
      </w:r>
      <w:r w:rsidR="00CF19F7">
        <w:t>e enabling environment</w:t>
      </w:r>
      <w:r w:rsidR="00C84D2C">
        <w:t xml:space="preserve"> (eg local government and the private sector)</w:t>
      </w:r>
      <w:r w:rsidR="00CF19F7">
        <w:t xml:space="preserve"> </w:t>
      </w:r>
      <w:r w:rsidR="00233A0B" w:rsidRPr="00F74897">
        <w:t>to support improved and more sustainable outcomes</w:t>
      </w:r>
      <w:r w:rsidR="00FD5787">
        <w:t>.</w:t>
      </w:r>
    </w:p>
    <w:p w:rsidR="003729DD" w:rsidRDefault="0009263F" w:rsidP="008B76F6">
      <w:pPr>
        <w:spacing w:before="120" w:after="120"/>
        <w:ind w:right="-383" w:hanging="11"/>
      </w:pPr>
      <w:r>
        <w:t xml:space="preserve">This activity builds on </w:t>
      </w:r>
      <w:r w:rsidR="00154009">
        <w:t>SPD</w:t>
      </w:r>
      <w:r>
        <w:t>’s</w:t>
      </w:r>
      <w:r w:rsidR="00154009">
        <w:t xml:space="preserve"> history of funding multilateral agencies. </w:t>
      </w:r>
      <w:r>
        <w:t>A</w:t>
      </w:r>
      <w:r w:rsidR="00154009">
        <w:t>gencies</w:t>
      </w:r>
      <w:r w:rsidR="005D0A9E">
        <w:t xml:space="preserve"> </w:t>
      </w:r>
      <w:r>
        <w:t xml:space="preserve">previously </w:t>
      </w:r>
      <w:r w:rsidR="005D0A9E">
        <w:t xml:space="preserve">funded </w:t>
      </w:r>
      <w:r w:rsidR="00CC14F6">
        <w:t xml:space="preserve">through WSI </w:t>
      </w:r>
      <w:r>
        <w:t>include</w:t>
      </w:r>
      <w:r w:rsidR="005D0A9E">
        <w:t xml:space="preserve"> </w:t>
      </w:r>
      <w:r w:rsidR="005D0A9E" w:rsidRPr="001757F5">
        <w:t>UNICEF, the World Bank, the Water Supply and Sanitation Collaborative Co</w:t>
      </w:r>
      <w:r w:rsidR="005D0A9E">
        <w:t xml:space="preserve">uncil, the </w:t>
      </w:r>
      <w:r w:rsidR="00405042">
        <w:t xml:space="preserve">WHO </w:t>
      </w:r>
      <w:r w:rsidR="005D0A9E" w:rsidRPr="001757F5">
        <w:t>and the Asian Development Bank.</w:t>
      </w:r>
    </w:p>
    <w:p w:rsidR="00881771" w:rsidRDefault="009A42A0" w:rsidP="00CF19F7">
      <w:pPr>
        <w:spacing w:before="120" w:after="120"/>
        <w:ind w:right="-99" w:hanging="11"/>
      </w:pPr>
      <w:r>
        <w:t>The outcomes</w:t>
      </w:r>
      <w:r w:rsidR="00CC14F6">
        <w:t xml:space="preserve"> delivered through </w:t>
      </w:r>
      <w:r w:rsidR="00E24224">
        <w:t>these partnerships</w:t>
      </w:r>
      <w:r>
        <w:t xml:space="preserve"> </w:t>
      </w:r>
      <w:r w:rsidR="00E24224">
        <w:t xml:space="preserve">are </w:t>
      </w:r>
      <w:r w:rsidR="0009263F">
        <w:t>diverse and depend</w:t>
      </w:r>
      <w:r w:rsidR="00E24224">
        <w:t xml:space="preserve"> on the nature of the </w:t>
      </w:r>
      <w:r w:rsidR="00C4753E">
        <w:t xml:space="preserve">program. </w:t>
      </w:r>
      <w:r w:rsidR="00CC14F6">
        <w:t>T</w:t>
      </w:r>
      <w:r w:rsidR="005A798A">
        <w:t>ypical</w:t>
      </w:r>
      <w:r w:rsidR="00CC14F6">
        <w:t xml:space="preserve"> outcomes </w:t>
      </w:r>
      <w:r w:rsidR="00C4753E">
        <w:t xml:space="preserve">include </w:t>
      </w:r>
      <w:r w:rsidR="00E24224">
        <w:t>policy reform</w:t>
      </w:r>
      <w:r w:rsidR="005A798A">
        <w:t xml:space="preserve"> for national government</w:t>
      </w:r>
      <w:r w:rsidR="00E24224">
        <w:t xml:space="preserve">, </w:t>
      </w:r>
      <w:r>
        <w:t>capacity building</w:t>
      </w:r>
      <w:r w:rsidR="005A798A">
        <w:t xml:space="preserve"> for utilities and the private sector, research and piloting of innovative practices and</w:t>
      </w:r>
      <w:r>
        <w:t xml:space="preserve"> interventions to sca</w:t>
      </w:r>
      <w:r w:rsidR="00F96D7C">
        <w:t>le up</w:t>
      </w:r>
      <w:r w:rsidR="00E71C98">
        <w:t xml:space="preserve"> effective</w:t>
      </w:r>
      <w:r w:rsidR="00F96D7C">
        <w:t xml:space="preserve"> programs</w:t>
      </w:r>
      <w:r>
        <w:t>.</w:t>
      </w:r>
      <w:r w:rsidR="00E24224">
        <w:t xml:space="preserve"> </w:t>
      </w:r>
      <w:r>
        <w:t xml:space="preserve"> </w:t>
      </w:r>
    </w:p>
    <w:p w:rsidR="00FC2B14" w:rsidRDefault="00FC2B14" w:rsidP="00B75642">
      <w:pPr>
        <w:spacing w:before="120" w:after="120"/>
        <w:ind w:hanging="11"/>
      </w:pPr>
      <w:r>
        <w:t>As part of this activity AusAID will advocate for strengthening results reporting by multilateral partners.  Expected results will be determined based on the organisations funded through this activity, the objective</w:t>
      </w:r>
      <w:r w:rsidR="0005001D">
        <w:t>s</w:t>
      </w:r>
      <w:r>
        <w:t xml:space="preserve"> of </w:t>
      </w:r>
      <w:r w:rsidR="0005001D">
        <w:t>an organisation’s programs</w:t>
      </w:r>
      <w:r>
        <w:t xml:space="preserve"> and the contribution of AusAID funding </w:t>
      </w:r>
      <w:r>
        <w:lastRenderedPageBreak/>
        <w:t>as a proportion of the whole initiative. These results will be quantified during the design process, with AusAID seeking data on access to water and sanitation, increased awareness and practice of handwashing with soap, and improvements to sector policy and the regulatory environment (amongst others – see Annex 4).</w:t>
      </w:r>
      <w:r w:rsidRPr="00FC2B14">
        <w:t xml:space="preserve"> </w:t>
      </w:r>
      <w:r>
        <w:t>The results produced by the multilateral programs activity will be monitored and measured using the AusAID WASH Performance Assessment Framework as well as through partner systems.</w:t>
      </w:r>
    </w:p>
    <w:p w:rsidR="00D617E9" w:rsidRDefault="005D0A9E" w:rsidP="00785DC1">
      <w:pPr>
        <w:spacing w:before="120" w:after="120"/>
        <w:rPr>
          <w:b/>
        </w:rPr>
      </w:pPr>
      <w:r w:rsidRPr="001757F5">
        <w:t xml:space="preserve">An </w:t>
      </w:r>
      <w:r>
        <w:t xml:space="preserve">independent </w:t>
      </w:r>
      <w:r w:rsidRPr="001757F5">
        <w:t xml:space="preserve">evaluation of </w:t>
      </w:r>
      <w:r w:rsidR="00735AEE">
        <w:t xml:space="preserve">AusAID’s </w:t>
      </w:r>
      <w:r w:rsidR="004B350D">
        <w:t xml:space="preserve">current </w:t>
      </w:r>
      <w:r w:rsidR="00446817">
        <w:t xml:space="preserve">multilateral agreements in the WASH sector </w:t>
      </w:r>
      <w:r w:rsidR="004B350D">
        <w:t xml:space="preserve">will inform our </w:t>
      </w:r>
      <w:r w:rsidR="00735AEE">
        <w:t xml:space="preserve">choice of </w:t>
      </w:r>
      <w:r w:rsidR="004B350D">
        <w:t>future partnerships</w:t>
      </w:r>
      <w:r w:rsidR="00154009">
        <w:t>. Th</w:t>
      </w:r>
      <w:r w:rsidR="00233A0B">
        <w:t>is</w:t>
      </w:r>
      <w:r w:rsidR="00154009">
        <w:t xml:space="preserve"> evaluation</w:t>
      </w:r>
      <w:r w:rsidR="00080D24">
        <w:t xml:space="preserve"> will</w:t>
      </w:r>
      <w:r w:rsidRPr="001757F5">
        <w:t xml:space="preserve"> assess the performance</w:t>
      </w:r>
      <w:r w:rsidR="004B350D">
        <w:t xml:space="preserve"> of current and potential future partnerships in line with the strategic goals and</w:t>
      </w:r>
      <w:r w:rsidRPr="001757F5">
        <w:t xml:space="preserve"> </w:t>
      </w:r>
      <w:r w:rsidR="00233A0B">
        <w:t xml:space="preserve">the </w:t>
      </w:r>
      <w:r>
        <w:t>effectiveness</w:t>
      </w:r>
      <w:r w:rsidR="004B350D">
        <w:t xml:space="preserve">, </w:t>
      </w:r>
      <w:r>
        <w:t xml:space="preserve">efficiency </w:t>
      </w:r>
      <w:r w:rsidR="004B350D">
        <w:t>and value for money</w:t>
      </w:r>
      <w:r>
        <w:t xml:space="preserve"> </w:t>
      </w:r>
      <w:r w:rsidR="004B350D">
        <w:t xml:space="preserve">criteria </w:t>
      </w:r>
      <w:r>
        <w:t xml:space="preserve">identified in Australia’s </w:t>
      </w:r>
      <w:r w:rsidR="004B350D">
        <w:t xml:space="preserve">new </w:t>
      </w:r>
      <w:r>
        <w:t>aid policy</w:t>
      </w:r>
      <w:r w:rsidRPr="001757F5">
        <w:t>.</w:t>
      </w:r>
      <w:r w:rsidR="004B350D">
        <w:t xml:space="preserve">  </w:t>
      </w:r>
      <w:r w:rsidR="00B13A65">
        <w:t xml:space="preserve">The design </w:t>
      </w:r>
      <w:r w:rsidR="00065DD0">
        <w:t>of this activity will also</w:t>
      </w:r>
      <w:r w:rsidR="004B350D">
        <w:t xml:space="preserve"> be informed by the </w:t>
      </w:r>
      <w:r w:rsidR="00B13A65">
        <w:t xml:space="preserve">findings of the </w:t>
      </w:r>
      <w:r w:rsidR="00DD4704" w:rsidRPr="001757F5">
        <w:t>Australian Multilateral Assessment</w:t>
      </w:r>
      <w:r w:rsidR="00871286">
        <w:rPr>
          <w:rFonts w:eastAsia="Arial Unicode MS"/>
        </w:rPr>
        <w:t>.</w:t>
      </w:r>
    </w:p>
    <w:p w:rsidR="005D0A9E" w:rsidRPr="001757F5" w:rsidRDefault="005D0A9E" w:rsidP="005D0A9E">
      <w:pPr>
        <w:numPr>
          <w:ilvl w:val="0"/>
          <w:numId w:val="8"/>
        </w:numPr>
        <w:tabs>
          <w:tab w:val="clear" w:pos="2058"/>
          <w:tab w:val="num" w:pos="426"/>
        </w:tabs>
        <w:spacing w:before="240" w:after="240"/>
        <w:ind w:left="426" w:hanging="426"/>
        <w:rPr>
          <w:b/>
        </w:rPr>
      </w:pPr>
      <w:r w:rsidRPr="001757F5">
        <w:rPr>
          <w:b/>
        </w:rPr>
        <w:t>New Civil Society WASH Fund</w:t>
      </w:r>
    </w:p>
    <w:p w:rsidR="003C3191" w:rsidRDefault="003C3191" w:rsidP="005D0A9E">
      <w:pPr>
        <w:spacing w:before="120" w:after="120"/>
      </w:pPr>
      <w:r>
        <w:t xml:space="preserve">A </w:t>
      </w:r>
      <w:r w:rsidR="00DF4671">
        <w:t>four year</w:t>
      </w:r>
      <w:r>
        <w:t xml:space="preserve"> </w:t>
      </w:r>
      <w:r w:rsidR="00AC73BD">
        <w:t>Civil Society WASH F</w:t>
      </w:r>
      <w:r>
        <w:t xml:space="preserve">und is proposed </w:t>
      </w:r>
      <w:r w:rsidR="00DF4671">
        <w:t xml:space="preserve">to resource </w:t>
      </w:r>
      <w:r w:rsidR="000B5CE4">
        <w:t>C</w:t>
      </w:r>
      <w:r w:rsidR="00DF4671">
        <w:t xml:space="preserve">ivil </w:t>
      </w:r>
      <w:r w:rsidR="000B5CE4">
        <w:t>S</w:t>
      </w:r>
      <w:r w:rsidR="00DF4671">
        <w:t xml:space="preserve">ociety </w:t>
      </w:r>
      <w:r w:rsidR="000B5CE4">
        <w:t>O</w:t>
      </w:r>
      <w:r w:rsidR="00DF4671">
        <w:t>rganisations</w:t>
      </w:r>
      <w:r w:rsidR="000B5CE4">
        <w:t xml:space="preserve"> (CSOs)</w:t>
      </w:r>
      <w:r w:rsidR="00DF4671">
        <w:t xml:space="preserve"> to deliver </w:t>
      </w:r>
      <w:r w:rsidR="00754D8E">
        <w:t xml:space="preserve">WASH </w:t>
      </w:r>
      <w:r w:rsidR="00DF4671">
        <w:t xml:space="preserve">programs in Africa, Asia and the Pacific. </w:t>
      </w:r>
      <w:r w:rsidR="00754D8E">
        <w:t xml:space="preserve">The new fund </w:t>
      </w:r>
      <w:r w:rsidR="00C4753E">
        <w:t>will aim to improve</w:t>
      </w:r>
      <w:r w:rsidR="00754D8E">
        <w:t xml:space="preserve"> program quality and sustainability by funding CSOs that demonstrate a sound track record </w:t>
      </w:r>
      <w:r w:rsidR="001540EF">
        <w:t>of incorporating evidence</w:t>
      </w:r>
      <w:r w:rsidR="00624E0C">
        <w:t>–</w:t>
      </w:r>
      <w:r w:rsidR="001540EF">
        <w:t>based practice into their WASH programs</w:t>
      </w:r>
      <w:r w:rsidR="00754D8E">
        <w:t xml:space="preserve">. The fund will </w:t>
      </w:r>
      <w:r w:rsidR="006201C1">
        <w:t>utilise</w:t>
      </w:r>
      <w:r w:rsidR="00754D8E">
        <w:t xml:space="preserve"> performance evaluation feedback mechanisms </w:t>
      </w:r>
      <w:r w:rsidR="006201C1">
        <w:t xml:space="preserve">to guide implementation </w:t>
      </w:r>
      <w:r w:rsidR="00754D8E">
        <w:t>and will support, document and share innovative approaches.</w:t>
      </w:r>
      <w:r w:rsidR="00D95C4C">
        <w:t xml:space="preserve"> </w:t>
      </w:r>
    </w:p>
    <w:p w:rsidR="00EE3155" w:rsidRDefault="00EE3155" w:rsidP="005D0A9E">
      <w:pPr>
        <w:spacing w:before="120" w:after="120"/>
      </w:pPr>
      <w:r>
        <w:t>The approach of using a dedicated CSO fund for WASH is informed by research into CSO work on WASH in Asia and the Pacific which found that these organisations have been successful in facilitating better access for the extreme poor.</w:t>
      </w:r>
      <w:r>
        <w:rPr>
          <w:rStyle w:val="EndnoteReference"/>
        </w:rPr>
        <w:endnoteReference w:id="11"/>
      </w:r>
      <w:r>
        <w:t xml:space="preserve"> The Australian aid policy promotes partnering with CSOs </w:t>
      </w:r>
      <w:r w:rsidRPr="001757F5">
        <w:t xml:space="preserve">to </w:t>
      </w:r>
      <w:r>
        <w:t xml:space="preserve">extend the geographic coverage of the aid program and to </w:t>
      </w:r>
      <w:r w:rsidRPr="001757F5">
        <w:t xml:space="preserve">deliver assistance </w:t>
      </w:r>
      <w:r>
        <w:t xml:space="preserve">directly </w:t>
      </w:r>
      <w:r w:rsidRPr="001757F5">
        <w:t>to tho</w:t>
      </w:r>
      <w:r>
        <w:t>se who need it most.</w:t>
      </w:r>
    </w:p>
    <w:p w:rsidR="005D0A9E" w:rsidRPr="001757F5" w:rsidRDefault="005D0A9E" w:rsidP="005D0A9E">
      <w:pPr>
        <w:spacing w:before="120" w:after="120"/>
      </w:pPr>
      <w:r w:rsidRPr="001757F5">
        <w:t>This activity will build on the design and achievements of the 2009</w:t>
      </w:r>
      <w:r>
        <w:t>–</w:t>
      </w:r>
      <w:r w:rsidRPr="001757F5">
        <w:t>10 to 2011</w:t>
      </w:r>
      <w:r>
        <w:t>–</w:t>
      </w:r>
      <w:r w:rsidRPr="001757F5">
        <w:t>12 Civil Society WASH Fund</w:t>
      </w:r>
      <w:r>
        <w:t xml:space="preserve"> (</w:t>
      </w:r>
      <w:r w:rsidRPr="001757F5">
        <w:t>a $32 million activity established under WSI</w:t>
      </w:r>
      <w:r>
        <w:t>).</w:t>
      </w:r>
      <w:r w:rsidR="003C3191">
        <w:t xml:space="preserve"> </w:t>
      </w:r>
      <w:r w:rsidR="00826FB7">
        <w:t>Under the current fund a</w:t>
      </w:r>
      <w:r w:rsidRPr="001757F5">
        <w:t xml:space="preserve"> total of</w:t>
      </w:r>
      <w:r>
        <w:t xml:space="preserve"> 11 CSOs </w:t>
      </w:r>
      <w:r w:rsidRPr="001757F5">
        <w:t xml:space="preserve">are </w:t>
      </w:r>
      <w:r w:rsidR="00E57CDC">
        <w:t>expected</w:t>
      </w:r>
      <w:r w:rsidRPr="001757F5">
        <w:t xml:space="preserve"> to provide</w:t>
      </w:r>
      <w:r w:rsidR="005D7A5D">
        <w:t xml:space="preserve"> approximately</w:t>
      </w:r>
      <w:r w:rsidRPr="001757F5">
        <w:t xml:space="preserve"> 330,000 people with access to safe water and an additional 560,000 people with access to basic sanitation facilities in Africa, Asia and the Pacific. In addition, </w:t>
      </w:r>
      <w:r w:rsidR="005D7A5D">
        <w:t xml:space="preserve">up to </w:t>
      </w:r>
      <w:r w:rsidRPr="001757F5">
        <w:t>474 schools are expected to benefit from imp</w:t>
      </w:r>
      <w:r>
        <w:t>roved water, sanitation or hand–</w:t>
      </w:r>
      <w:r w:rsidRPr="001757F5">
        <w:t>washing facilities.</w:t>
      </w:r>
    </w:p>
    <w:p w:rsidR="003C3191" w:rsidRDefault="003C3191" w:rsidP="005D0A9E">
      <w:pPr>
        <w:spacing w:before="120" w:after="120"/>
      </w:pPr>
    </w:p>
    <w:p w:rsidR="00EE3155" w:rsidRDefault="00EE3155" w:rsidP="00F74897">
      <w:pPr>
        <w:spacing w:before="120" w:after="120"/>
        <w:ind w:right="43"/>
      </w:pPr>
      <w:r>
        <w:t xml:space="preserve">The activity’s goal will be to enhance the health and quality of life of the poor and vulnerable by improving sustainable access to safe water, sanitation and hygiene. The activity has been allocated a budget of $97 million over four years and based on the expected achievements of the current fund, is estimated to be able to deliver improved access to water and sanitation and education on hygiene to approximately 1.8 million people across Africa, Asia and the Pacific.                                                                                                                                                                                                                                  </w:t>
      </w:r>
    </w:p>
    <w:p w:rsidR="005D0A9E" w:rsidRDefault="005D0A9E" w:rsidP="00F74897">
      <w:pPr>
        <w:spacing w:before="120" w:after="120"/>
        <w:ind w:right="43"/>
      </w:pPr>
      <w:r w:rsidRPr="001757F5">
        <w:t xml:space="preserve">The design process </w:t>
      </w:r>
      <w:r>
        <w:t xml:space="preserve">for the next iteration </w:t>
      </w:r>
      <w:r w:rsidR="0083361E">
        <w:t xml:space="preserve">of the fund </w:t>
      </w:r>
      <w:r>
        <w:t>will be informed by a mid–</w:t>
      </w:r>
      <w:r w:rsidRPr="001757F5">
        <w:t>term Independent Progress Report of the current fund which reviewed the fund’s structure, manageme</w:t>
      </w:r>
      <w:r>
        <w:t xml:space="preserve">nt, partnerships and reported on </w:t>
      </w:r>
      <w:r w:rsidRPr="001757F5">
        <w:t>WASH approaches pursued by CSOs</w:t>
      </w:r>
      <w:r>
        <w:t>.</w:t>
      </w:r>
      <w:r w:rsidR="0083361E">
        <w:t xml:space="preserve">  </w:t>
      </w:r>
      <w:r w:rsidR="00B54EE2">
        <w:t xml:space="preserve">The design will explore opportunities for partnerships with bilateral programs </w:t>
      </w:r>
      <w:r w:rsidR="00AE5F4F">
        <w:t xml:space="preserve">(for example through capacity building initiatives) </w:t>
      </w:r>
      <w:r w:rsidR="00B54EE2">
        <w:t xml:space="preserve">and will seek to place a stronger emphasis on use of good practice to achieve sustainable WASH outcomes. </w:t>
      </w:r>
      <w:r w:rsidR="0071045B">
        <w:t xml:space="preserve">A competitive grant process is proposed to resource CSOs with funding </w:t>
      </w:r>
      <w:r w:rsidR="003729DD">
        <w:t>commencing</w:t>
      </w:r>
      <w:r w:rsidR="0071045B">
        <w:t xml:space="preserve"> in </w:t>
      </w:r>
      <w:r w:rsidR="00AD2C72">
        <w:t xml:space="preserve">September </w:t>
      </w:r>
      <w:r w:rsidR="0071045B">
        <w:t>2012.</w:t>
      </w:r>
      <w:r w:rsidR="0083361E">
        <w:t xml:space="preserve">  A final evaluation of the current fun</w:t>
      </w:r>
      <w:r w:rsidR="007D36C0">
        <w:t>d</w:t>
      </w:r>
      <w:r w:rsidR="0083361E">
        <w:t xml:space="preserve"> is planned in 2012 and will be used to further improve on the design and outcomes delivered through the new fund.</w:t>
      </w:r>
    </w:p>
    <w:p w:rsidR="00B75642" w:rsidRDefault="00B75642" w:rsidP="00F74897">
      <w:pPr>
        <w:spacing w:before="120" w:after="120"/>
        <w:ind w:right="43"/>
      </w:pPr>
    </w:p>
    <w:p w:rsidR="005D0A9E" w:rsidRPr="008759AC" w:rsidRDefault="005D0A9E" w:rsidP="005D0A9E">
      <w:pPr>
        <w:numPr>
          <w:ilvl w:val="0"/>
          <w:numId w:val="8"/>
        </w:numPr>
        <w:tabs>
          <w:tab w:val="left" w:pos="426"/>
        </w:tabs>
        <w:spacing w:before="240" w:after="240"/>
        <w:ind w:left="437" w:hanging="437"/>
        <w:rPr>
          <w:b/>
        </w:rPr>
      </w:pPr>
      <w:r w:rsidRPr="008759AC">
        <w:rPr>
          <w:b/>
        </w:rPr>
        <w:lastRenderedPageBreak/>
        <w:t>Capacity Building</w:t>
      </w:r>
    </w:p>
    <w:p w:rsidR="005D0A9E" w:rsidRPr="0015523B" w:rsidRDefault="005D0A9E" w:rsidP="00876FB1">
      <w:pPr>
        <w:spacing w:before="120" w:after="120"/>
        <w:ind w:right="-524"/>
      </w:pPr>
      <w:r w:rsidRPr="0015523B">
        <w:t>Across most developing countries there is a lack of capacity in national and local governments, private sector, civil society and communities to deliver sustainable WASH services.</w:t>
      </w:r>
      <w:r w:rsidR="00876FB1" w:rsidRPr="0015523B">
        <w:t xml:space="preserve">  </w:t>
      </w:r>
      <w:r w:rsidRPr="0015523B">
        <w:t>In–country capacity is a critical factor for development effectiveness and the attainment of MDG targets for water and sanitation.</w:t>
      </w:r>
    </w:p>
    <w:p w:rsidR="00620377" w:rsidRDefault="005D0A9E" w:rsidP="005D0A9E">
      <w:pPr>
        <w:spacing w:before="120" w:after="120"/>
      </w:pPr>
      <w:r w:rsidRPr="0015523B">
        <w:t>The broad objective of this activity will be to develop program delivery capacity in countries and regions where Australian development assistance is funding WASH activities.</w:t>
      </w:r>
      <w:r w:rsidR="0052292A" w:rsidRPr="0015523B">
        <w:t xml:space="preserve"> </w:t>
      </w:r>
      <w:r w:rsidR="00620377">
        <w:t xml:space="preserve"> The activity will also consider if it can usefully contribute to the development of policy expertise in these locations</w:t>
      </w:r>
      <w:r w:rsidR="00201733">
        <w:t xml:space="preserve"> and within the funding envelope available.</w:t>
      </w:r>
    </w:p>
    <w:p w:rsidR="0052292A" w:rsidRPr="0015523B" w:rsidRDefault="005D0A9E" w:rsidP="005D0A9E">
      <w:pPr>
        <w:spacing w:before="120" w:after="120"/>
      </w:pPr>
      <w:r w:rsidRPr="0015523B">
        <w:t xml:space="preserve">This activity would target </w:t>
      </w:r>
      <w:r w:rsidR="00243EE1">
        <w:t xml:space="preserve">Australian and </w:t>
      </w:r>
      <w:r w:rsidRPr="0015523B">
        <w:t xml:space="preserve">in–country </w:t>
      </w:r>
      <w:r w:rsidR="00243EE1">
        <w:t>organisation</w:t>
      </w:r>
      <w:r w:rsidR="007D36C0">
        <w:t>s</w:t>
      </w:r>
      <w:r w:rsidRPr="0015523B">
        <w:t xml:space="preserve"> through </w:t>
      </w:r>
      <w:r w:rsidR="00F51ACA">
        <w:t xml:space="preserve">activities including </w:t>
      </w:r>
      <w:r w:rsidRPr="0015523B">
        <w:t>training and skill–building in particular, but could also consider ways to improve governance arrangements within the water sector.</w:t>
      </w:r>
      <w:r w:rsidR="0052292A" w:rsidRPr="0015523B">
        <w:t xml:space="preserve"> </w:t>
      </w:r>
      <w:r w:rsidR="00947100" w:rsidRPr="0015523B">
        <w:t>For example, improvements to financial management and technical support systems in local governments can help countries to better operate and maintain public water and sanitation infrastructure.</w:t>
      </w:r>
    </w:p>
    <w:p w:rsidR="00F51ACA" w:rsidRDefault="00E256C7" w:rsidP="004563B6">
      <w:pPr>
        <w:spacing w:before="120" w:after="120"/>
        <w:rPr>
          <w:color w:val="000000" w:themeColor="text1"/>
        </w:rPr>
      </w:pPr>
      <w:r>
        <w:t xml:space="preserve">As a global program, this activity would enable knowledge and </w:t>
      </w:r>
      <w:r w:rsidR="000908AE">
        <w:t>best practice</w:t>
      </w:r>
      <w:r>
        <w:t xml:space="preserve"> in the WASH sector to be shared</w:t>
      </w:r>
      <w:r w:rsidR="000908AE">
        <w:t xml:space="preserve"> more</w:t>
      </w:r>
      <w:r>
        <w:t xml:space="preserve"> widely and consistently</w:t>
      </w:r>
      <w:r w:rsidR="000908AE">
        <w:t xml:space="preserve"> across regions</w:t>
      </w:r>
      <w:r>
        <w:t>, including with countries where AusAID does not currentl</w:t>
      </w:r>
      <w:r w:rsidR="000908AE">
        <w:t xml:space="preserve">y have a strong WASH presence. </w:t>
      </w:r>
      <w:r w:rsidR="004563B6" w:rsidRPr="0015523B">
        <w:t>A design process for this activity would identify where the greatest need for capacity building exists</w:t>
      </w:r>
      <w:r w:rsidR="00261892" w:rsidRPr="0015523B">
        <w:t xml:space="preserve"> and</w:t>
      </w:r>
      <w:r w:rsidR="004563B6" w:rsidRPr="0015523B">
        <w:t xml:space="preserve"> how best to build on current multilateral and bilateral initiatives and partnerships </w:t>
      </w:r>
      <w:r w:rsidR="00261892" w:rsidRPr="0015523B">
        <w:t>to</w:t>
      </w:r>
      <w:r w:rsidR="004563B6" w:rsidRPr="0015523B">
        <w:t xml:space="preserve"> assist developing countries and implementing partners to improve their capacity for the </w:t>
      </w:r>
      <w:r w:rsidR="004563B6" w:rsidRPr="00123B37">
        <w:rPr>
          <w:color w:val="000000" w:themeColor="text1"/>
        </w:rPr>
        <w:t>successful delivery of WASH related services.</w:t>
      </w:r>
    </w:p>
    <w:p w:rsidR="004563B6" w:rsidRDefault="004563B6" w:rsidP="004563B6">
      <w:pPr>
        <w:spacing w:before="120" w:after="120"/>
        <w:rPr>
          <w:color w:val="000000" w:themeColor="text1"/>
        </w:rPr>
      </w:pPr>
      <w:r w:rsidRPr="00123B37">
        <w:rPr>
          <w:color w:val="000000" w:themeColor="text1"/>
        </w:rPr>
        <w:t xml:space="preserve">This </w:t>
      </w:r>
      <w:r w:rsidR="009411CE" w:rsidRPr="00123B37">
        <w:rPr>
          <w:color w:val="000000" w:themeColor="text1"/>
        </w:rPr>
        <w:t>activity would consider</w:t>
      </w:r>
      <w:r w:rsidRPr="00123B37">
        <w:rPr>
          <w:color w:val="000000" w:themeColor="text1"/>
        </w:rPr>
        <w:t xml:space="preserve"> options for partnering with </w:t>
      </w:r>
      <w:r w:rsidR="0015523B" w:rsidRPr="00123B37">
        <w:rPr>
          <w:color w:val="000000" w:themeColor="text1"/>
        </w:rPr>
        <w:t xml:space="preserve">Australian and </w:t>
      </w:r>
      <w:r w:rsidRPr="00123B37">
        <w:rPr>
          <w:color w:val="000000" w:themeColor="text1"/>
        </w:rPr>
        <w:t>in–country organisations such as universities and accredited training organisations, civil society and local government. This would be guided by an assessment of the ability of these institutions to deliver training and skill–building programs where a need is identified.</w:t>
      </w:r>
    </w:p>
    <w:p w:rsidR="00C752DE" w:rsidRPr="00123B37" w:rsidRDefault="00C752DE" w:rsidP="004563B6">
      <w:pPr>
        <w:spacing w:before="120" w:after="120"/>
        <w:rPr>
          <w:color w:val="000000" w:themeColor="text1"/>
        </w:rPr>
      </w:pPr>
      <w:r>
        <w:rPr>
          <w:color w:val="000000" w:themeColor="text1"/>
        </w:rPr>
        <w:t xml:space="preserve">With funding of </w:t>
      </w:r>
      <w:r w:rsidR="005C4894">
        <w:rPr>
          <w:color w:val="000000" w:themeColor="text1"/>
        </w:rPr>
        <w:t xml:space="preserve">up to </w:t>
      </w:r>
      <w:r>
        <w:rPr>
          <w:color w:val="000000" w:themeColor="text1"/>
        </w:rPr>
        <w:t>$19 million available over four years from 2012</w:t>
      </w:r>
      <w:r w:rsidR="00044D9A">
        <w:rPr>
          <w:color w:val="000000" w:themeColor="text1"/>
        </w:rPr>
        <w:t>–</w:t>
      </w:r>
      <w:r>
        <w:rPr>
          <w:color w:val="000000" w:themeColor="text1"/>
        </w:rPr>
        <w:t>13, this activity could provide for 2</w:t>
      </w:r>
      <w:r w:rsidR="000B6821">
        <w:rPr>
          <w:color w:val="000000" w:themeColor="text1"/>
        </w:rPr>
        <w:t>5</w:t>
      </w:r>
      <w:r>
        <w:rPr>
          <w:color w:val="000000" w:themeColor="text1"/>
        </w:rPr>
        <w:t xml:space="preserve"> regional short courses and workshops</w:t>
      </w:r>
      <w:r w:rsidR="005C4894">
        <w:rPr>
          <w:color w:val="000000" w:themeColor="text1"/>
        </w:rPr>
        <w:t xml:space="preserve"> (at $100,000 each)</w:t>
      </w:r>
      <w:r>
        <w:rPr>
          <w:color w:val="000000" w:themeColor="text1"/>
        </w:rPr>
        <w:t xml:space="preserve">, </w:t>
      </w:r>
      <w:r w:rsidR="000B6821">
        <w:rPr>
          <w:color w:val="000000" w:themeColor="text1"/>
        </w:rPr>
        <w:t>two</w:t>
      </w:r>
      <w:r w:rsidR="005C4894">
        <w:rPr>
          <w:color w:val="000000" w:themeColor="text1"/>
        </w:rPr>
        <w:t xml:space="preserve"> international conferences (at $500,000 each), 60 specialist placements in multilateral</w:t>
      </w:r>
      <w:r w:rsidR="000B6821">
        <w:rPr>
          <w:color w:val="000000" w:themeColor="text1"/>
        </w:rPr>
        <w:t>/</w:t>
      </w:r>
      <w:r w:rsidR="005C4894">
        <w:rPr>
          <w:color w:val="000000" w:themeColor="text1"/>
        </w:rPr>
        <w:t>bilateral programs to provide strategic advice for one month (at $50,000 each)</w:t>
      </w:r>
      <w:r w:rsidR="00051F78">
        <w:rPr>
          <w:color w:val="000000" w:themeColor="text1"/>
        </w:rPr>
        <w:t xml:space="preserve"> and</w:t>
      </w:r>
      <w:r w:rsidR="005C4894">
        <w:rPr>
          <w:color w:val="000000" w:themeColor="text1"/>
        </w:rPr>
        <w:t xml:space="preserve"> </w:t>
      </w:r>
      <w:r w:rsidR="00051F78">
        <w:rPr>
          <w:color w:val="000000" w:themeColor="text1"/>
        </w:rPr>
        <w:t>30</w:t>
      </w:r>
      <w:r w:rsidR="005C4894">
        <w:rPr>
          <w:color w:val="000000" w:themeColor="text1"/>
        </w:rPr>
        <w:t xml:space="preserve"> sector analysis and institutional reform placements </w:t>
      </w:r>
      <w:r w:rsidR="000B6821">
        <w:rPr>
          <w:color w:val="000000" w:themeColor="text1"/>
        </w:rPr>
        <w:t xml:space="preserve">in multilateral/bilateral programs for </w:t>
      </w:r>
      <w:r w:rsidR="00051F78">
        <w:rPr>
          <w:color w:val="000000" w:themeColor="text1"/>
        </w:rPr>
        <w:t>three</w:t>
      </w:r>
      <w:r w:rsidR="000B6821">
        <w:rPr>
          <w:color w:val="000000" w:themeColor="text1"/>
        </w:rPr>
        <w:t xml:space="preserve"> months (at $150,000 each)</w:t>
      </w:r>
      <w:r w:rsidR="00051F78">
        <w:rPr>
          <w:color w:val="000000" w:themeColor="text1"/>
        </w:rPr>
        <w:t xml:space="preserve">. </w:t>
      </w:r>
      <w:r w:rsidR="000B6821">
        <w:rPr>
          <w:color w:val="000000" w:themeColor="text1"/>
        </w:rPr>
        <w:t xml:space="preserve"> </w:t>
      </w:r>
      <w:r w:rsidR="00051F78">
        <w:rPr>
          <w:color w:val="000000" w:themeColor="text1"/>
        </w:rPr>
        <w:t>O</w:t>
      </w:r>
      <w:r w:rsidR="000B6821">
        <w:rPr>
          <w:color w:val="000000" w:themeColor="text1"/>
        </w:rPr>
        <w:t xml:space="preserve">ther activities </w:t>
      </w:r>
      <w:r w:rsidR="00051F78">
        <w:rPr>
          <w:color w:val="000000" w:themeColor="text1"/>
        </w:rPr>
        <w:t>would also</w:t>
      </w:r>
      <w:r w:rsidR="000B6821">
        <w:rPr>
          <w:color w:val="000000" w:themeColor="text1"/>
        </w:rPr>
        <w:t xml:space="preserve"> </w:t>
      </w:r>
      <w:r w:rsidR="00051F78">
        <w:rPr>
          <w:color w:val="000000" w:themeColor="text1"/>
        </w:rPr>
        <w:t xml:space="preserve">be considered </w:t>
      </w:r>
      <w:r w:rsidR="000B6821">
        <w:rPr>
          <w:color w:val="000000" w:themeColor="text1"/>
        </w:rPr>
        <w:t>includ</w:t>
      </w:r>
      <w:r w:rsidR="00051F78">
        <w:rPr>
          <w:color w:val="000000" w:themeColor="text1"/>
        </w:rPr>
        <w:t>ing</w:t>
      </w:r>
      <w:r w:rsidR="000B6821">
        <w:rPr>
          <w:color w:val="000000" w:themeColor="text1"/>
        </w:rPr>
        <w:t xml:space="preserve"> sector specialist secondments, twinning arrangements with multilateral and in</w:t>
      </w:r>
      <w:r w:rsidR="00044D9A">
        <w:rPr>
          <w:color w:val="000000" w:themeColor="text1"/>
        </w:rPr>
        <w:t>–</w:t>
      </w:r>
      <w:r w:rsidR="000B6821">
        <w:rPr>
          <w:color w:val="000000" w:themeColor="text1"/>
        </w:rPr>
        <w:t xml:space="preserve">country </w:t>
      </w:r>
      <w:r w:rsidR="00051F78">
        <w:rPr>
          <w:color w:val="000000" w:themeColor="text1"/>
        </w:rPr>
        <w:t>institutions</w:t>
      </w:r>
      <w:r w:rsidR="000B6821">
        <w:rPr>
          <w:color w:val="000000" w:themeColor="text1"/>
        </w:rPr>
        <w:t xml:space="preserve"> and </w:t>
      </w:r>
      <w:r w:rsidR="00051F78">
        <w:rPr>
          <w:color w:val="000000" w:themeColor="text1"/>
        </w:rPr>
        <w:t xml:space="preserve">the development of </w:t>
      </w:r>
      <w:r w:rsidR="000B6821">
        <w:rPr>
          <w:color w:val="000000" w:themeColor="text1"/>
        </w:rPr>
        <w:t>information sharing systems such as internet portals.</w:t>
      </w:r>
    </w:p>
    <w:p w:rsidR="000B6821" w:rsidRDefault="005D0A9E" w:rsidP="00620377">
      <w:pPr>
        <w:spacing w:before="120" w:after="120"/>
        <w:rPr>
          <w:color w:val="000000" w:themeColor="text1"/>
        </w:rPr>
      </w:pPr>
      <w:r w:rsidRPr="00123B37">
        <w:rPr>
          <w:color w:val="000000" w:themeColor="text1"/>
        </w:rPr>
        <w:t xml:space="preserve">A consultant is proposed to be engaged to manage the design for this activity, in particular to assist with identifying potential partners to work with and </w:t>
      </w:r>
      <w:r w:rsidR="000908AE">
        <w:rPr>
          <w:color w:val="000000" w:themeColor="text1"/>
        </w:rPr>
        <w:t xml:space="preserve">what </w:t>
      </w:r>
      <w:r w:rsidRPr="00123B37">
        <w:rPr>
          <w:color w:val="000000" w:themeColor="text1"/>
        </w:rPr>
        <w:t xml:space="preserve">countries </w:t>
      </w:r>
      <w:r w:rsidR="000908AE">
        <w:rPr>
          <w:color w:val="000000" w:themeColor="text1"/>
        </w:rPr>
        <w:t xml:space="preserve">and </w:t>
      </w:r>
      <w:r w:rsidR="00645B93">
        <w:rPr>
          <w:color w:val="000000" w:themeColor="text1"/>
        </w:rPr>
        <w:t xml:space="preserve">regions </w:t>
      </w:r>
      <w:r w:rsidR="00645B93" w:rsidRPr="00123B37">
        <w:rPr>
          <w:color w:val="000000" w:themeColor="text1"/>
        </w:rPr>
        <w:t>can</w:t>
      </w:r>
      <w:r w:rsidR="000908AE">
        <w:rPr>
          <w:color w:val="000000" w:themeColor="text1"/>
        </w:rPr>
        <w:t xml:space="preserve"> </w:t>
      </w:r>
      <w:r w:rsidRPr="00123B37">
        <w:rPr>
          <w:color w:val="000000" w:themeColor="text1"/>
        </w:rPr>
        <w:t xml:space="preserve">benefit the most from building domestic </w:t>
      </w:r>
      <w:r w:rsidR="005B1D0B">
        <w:rPr>
          <w:color w:val="000000" w:themeColor="text1"/>
        </w:rPr>
        <w:t>capacity</w:t>
      </w:r>
      <w:r w:rsidRPr="00123B37">
        <w:rPr>
          <w:color w:val="000000" w:themeColor="text1"/>
        </w:rPr>
        <w:t xml:space="preserve"> in WASH</w:t>
      </w:r>
      <w:r w:rsidR="005B1D0B">
        <w:rPr>
          <w:color w:val="000000" w:themeColor="text1"/>
        </w:rPr>
        <w:t xml:space="preserve"> program delivery</w:t>
      </w:r>
      <w:r w:rsidR="00A53C1F">
        <w:rPr>
          <w:color w:val="000000" w:themeColor="text1"/>
        </w:rPr>
        <w:t>.</w:t>
      </w:r>
      <w:r w:rsidR="005B1D0B">
        <w:rPr>
          <w:color w:val="000000" w:themeColor="text1"/>
        </w:rPr>
        <w:t xml:space="preserve"> </w:t>
      </w:r>
      <w:r w:rsidR="00A53C1F">
        <w:rPr>
          <w:color w:val="000000" w:themeColor="text1"/>
        </w:rPr>
        <w:t xml:space="preserve"> An assessment on the value of including the development of </w:t>
      </w:r>
      <w:r w:rsidR="005B1D0B">
        <w:rPr>
          <w:color w:val="000000" w:themeColor="text1"/>
        </w:rPr>
        <w:t>policy expertise</w:t>
      </w:r>
      <w:r w:rsidR="00A53C1F">
        <w:rPr>
          <w:color w:val="000000" w:themeColor="text1"/>
        </w:rPr>
        <w:t xml:space="preserve"> as part of this activity would also be undertaken.</w:t>
      </w:r>
    </w:p>
    <w:p w:rsidR="005D0A9E" w:rsidRDefault="005D0A9E" w:rsidP="005D0A9E">
      <w:pPr>
        <w:numPr>
          <w:ilvl w:val="0"/>
          <w:numId w:val="8"/>
        </w:numPr>
        <w:tabs>
          <w:tab w:val="left" w:pos="426"/>
        </w:tabs>
        <w:spacing w:before="240" w:after="240"/>
        <w:ind w:left="437" w:hanging="437"/>
        <w:rPr>
          <w:b/>
        </w:rPr>
      </w:pPr>
      <w:r w:rsidRPr="001757F5">
        <w:rPr>
          <w:b/>
        </w:rPr>
        <w:t>Research and Bilateral Support</w:t>
      </w:r>
    </w:p>
    <w:p w:rsidR="002824B1" w:rsidRDefault="002824B1" w:rsidP="00AD5D63">
      <w:pPr>
        <w:spacing w:before="120" w:after="120"/>
        <w:ind w:right="-144"/>
      </w:pPr>
      <w:r>
        <w:t xml:space="preserve">Good research can lead to </w:t>
      </w:r>
      <w:r w:rsidR="00EC690A">
        <w:t>improved</w:t>
      </w:r>
      <w:r>
        <w:t xml:space="preserve"> development effectiveness by providing practical evidence upon which policies and programs can be built.</w:t>
      </w:r>
    </w:p>
    <w:p w:rsidR="008F2365" w:rsidRDefault="008F2365" w:rsidP="005D0A9E">
      <w:pPr>
        <w:spacing w:before="120" w:after="120"/>
      </w:pPr>
      <w:r>
        <w:t xml:space="preserve">There are still significant gaps in the global knowledge base on how to achieve sustainable WASH outcomes across diverse cultural, environmental, fiscal and political contexts. There is also a shortage of reliable data on the coverage of water supply and sanitation by country and </w:t>
      </w:r>
      <w:r>
        <w:lastRenderedPageBreak/>
        <w:t>region</w:t>
      </w:r>
      <w:r w:rsidR="00D20E38">
        <w:t>, particularly for the Pacific</w:t>
      </w:r>
      <w:r>
        <w:t>. The combined impact of these issues is a constraint on the ability to design programs that will deliver sustainable outcomes for those who need it most.</w:t>
      </w:r>
    </w:p>
    <w:p w:rsidR="005D0A9E" w:rsidRDefault="005D0A9E" w:rsidP="005D0A9E">
      <w:pPr>
        <w:spacing w:before="120" w:after="120"/>
      </w:pPr>
      <w:r w:rsidRPr="001757F5">
        <w:t xml:space="preserve">The activity </w:t>
      </w:r>
      <w:r w:rsidR="008F2365">
        <w:t xml:space="preserve">proposes to resource a range of activities that </w:t>
      </w:r>
      <w:r w:rsidRPr="001757F5">
        <w:t>will:</w:t>
      </w:r>
    </w:p>
    <w:p w:rsidR="00802F6B" w:rsidRPr="001757F5" w:rsidRDefault="00802F6B" w:rsidP="00802F6B">
      <w:pPr>
        <w:numPr>
          <w:ilvl w:val="0"/>
          <w:numId w:val="9"/>
        </w:numPr>
        <w:tabs>
          <w:tab w:val="clear" w:pos="1077"/>
          <w:tab w:val="num" w:pos="426"/>
        </w:tabs>
        <w:spacing w:before="120" w:after="120"/>
        <w:ind w:left="426" w:right="-144" w:hanging="426"/>
      </w:pPr>
      <w:r w:rsidRPr="001757F5">
        <w:t>invest in</w:t>
      </w:r>
      <w:r>
        <w:t xml:space="preserve"> </w:t>
      </w:r>
      <w:r w:rsidR="000C66E9">
        <w:t xml:space="preserve">both </w:t>
      </w:r>
      <w:r w:rsidRPr="001757F5">
        <w:t>country specific research to support bilateral engagements and general thematic research to build the global knowledge base for WASH</w:t>
      </w:r>
      <w:r>
        <w:t xml:space="preserve">.  </w:t>
      </w:r>
      <w:r w:rsidR="00C24E4D">
        <w:t>T</w:t>
      </w:r>
      <w:r>
        <w:t xml:space="preserve">he </w:t>
      </w:r>
      <w:r w:rsidRPr="001757F5">
        <w:t xml:space="preserve">Australian Development Research Awards (ADRA) and </w:t>
      </w:r>
      <w:r>
        <w:t>AusAID’s systematic reviews</w:t>
      </w:r>
      <w:r w:rsidR="000C66E9">
        <w:t xml:space="preserve"> </w:t>
      </w:r>
      <w:r w:rsidR="00C24E4D">
        <w:t xml:space="preserve">will be utilised </w:t>
      </w:r>
      <w:r w:rsidR="000C66E9">
        <w:t xml:space="preserve">to address the need for more evidence on critical issues such as the impact of climate change on water supply and context specific subjects such </w:t>
      </w:r>
      <w:r w:rsidR="00D815B9">
        <w:t>as how to address</w:t>
      </w:r>
      <w:r w:rsidR="000C66E9">
        <w:t xml:space="preserve"> </w:t>
      </w:r>
      <w:r w:rsidR="00106ACE">
        <w:t>cultural practices</w:t>
      </w:r>
      <w:r w:rsidR="000C66E9">
        <w:t xml:space="preserve"> </w:t>
      </w:r>
      <w:r w:rsidR="00D815B9">
        <w:t>in</w:t>
      </w:r>
      <w:r w:rsidR="000C66E9">
        <w:t xml:space="preserve"> </w:t>
      </w:r>
      <w:r w:rsidR="001E5362">
        <w:t xml:space="preserve">hygiene </w:t>
      </w:r>
      <w:r w:rsidR="000C66E9">
        <w:t>behaviour change</w:t>
      </w:r>
      <w:r w:rsidR="00106ACE">
        <w:t xml:space="preserve"> programs</w:t>
      </w:r>
      <w:r>
        <w:t>;</w:t>
      </w:r>
      <w:r w:rsidR="00173C82">
        <w:t xml:space="preserve"> and</w:t>
      </w:r>
    </w:p>
    <w:p w:rsidR="005D0A9E" w:rsidRPr="001757F5" w:rsidRDefault="005D0A9E" w:rsidP="005D0A9E">
      <w:pPr>
        <w:numPr>
          <w:ilvl w:val="0"/>
          <w:numId w:val="9"/>
        </w:numPr>
        <w:tabs>
          <w:tab w:val="clear" w:pos="1077"/>
          <w:tab w:val="num" w:pos="426"/>
        </w:tabs>
        <w:spacing w:before="120" w:after="120"/>
        <w:ind w:left="426" w:hanging="426"/>
      </w:pPr>
      <w:r w:rsidRPr="001757F5">
        <w:t xml:space="preserve">develop analytical tools and resources such as </w:t>
      </w:r>
      <w:r w:rsidR="00C24E4D">
        <w:t>c</w:t>
      </w:r>
      <w:r w:rsidRPr="001757F5">
        <w:t xml:space="preserve">ountry </w:t>
      </w:r>
      <w:r w:rsidR="00C24E4D">
        <w:t>reports on the status of WASH</w:t>
      </w:r>
      <w:r w:rsidRPr="001757F5">
        <w:t xml:space="preserve"> for South East Asia and Pacific</w:t>
      </w:r>
      <w:r w:rsidR="00C24E4D">
        <w:t xml:space="preserve"> countries</w:t>
      </w:r>
      <w:r w:rsidRPr="001757F5">
        <w:t xml:space="preserve">.  </w:t>
      </w:r>
      <w:r w:rsidR="008C2FB0" w:rsidRPr="001757F5">
        <w:t xml:space="preserve">These </w:t>
      </w:r>
      <w:r w:rsidR="008C2FB0">
        <w:t>tools</w:t>
      </w:r>
      <w:r w:rsidR="008C2FB0" w:rsidRPr="001757F5">
        <w:t xml:space="preserve"> will assist AusAID country and regional program areas, bilateral partners and other donors to better target WASH activities by providing </w:t>
      </w:r>
      <w:bookmarkStart w:id="1" w:name="OLE_LINK3"/>
      <w:r w:rsidR="008C2FB0" w:rsidRPr="001757F5">
        <w:t>robust data and analysis</w:t>
      </w:r>
      <w:bookmarkEnd w:id="1"/>
      <w:r w:rsidR="008C2FB0" w:rsidRPr="001757F5">
        <w:t xml:space="preserve"> on the</w:t>
      </w:r>
      <w:r w:rsidR="008C2FB0">
        <w:t xml:space="preserve"> opportunities and challenges facing the sector</w:t>
      </w:r>
      <w:r w:rsidR="008C2FB0" w:rsidRPr="001757F5">
        <w:t xml:space="preserve"> in a given country</w:t>
      </w:r>
      <w:r w:rsidR="008C2FB0">
        <w:t>. SPD will work with multilateral initiatives such as the Joint Monitoring Program (UNICEF and WHO) and academic institutions to develop the</w:t>
      </w:r>
      <w:r w:rsidR="00C05F47">
        <w:t>se</w:t>
      </w:r>
      <w:r w:rsidR="008C2FB0">
        <w:t xml:space="preserve"> </w:t>
      </w:r>
      <w:r w:rsidR="00C05F47" w:rsidRPr="001757F5">
        <w:t>analytical</w:t>
      </w:r>
      <w:r w:rsidR="00C05F47">
        <w:t xml:space="preserve"> </w:t>
      </w:r>
      <w:r w:rsidR="008C2FB0">
        <w:t>tools</w:t>
      </w:r>
      <w:r w:rsidR="00C05F47">
        <w:t xml:space="preserve"> and resources</w:t>
      </w:r>
      <w:r w:rsidR="008C2FB0">
        <w:t xml:space="preserve">. </w:t>
      </w:r>
    </w:p>
    <w:p w:rsidR="00B243E1" w:rsidRDefault="002A4D5A" w:rsidP="003311C6">
      <w:pPr>
        <w:spacing w:before="120" w:after="120"/>
        <w:ind w:right="43"/>
      </w:pPr>
      <w:r>
        <w:t xml:space="preserve">With a budget of $8 million over four years this activity </w:t>
      </w:r>
      <w:r w:rsidR="00051F78">
        <w:t>could</w:t>
      </w:r>
      <w:r>
        <w:t xml:space="preserve"> fund up to 1</w:t>
      </w:r>
      <w:r w:rsidR="00C62E0F">
        <w:t>0</w:t>
      </w:r>
      <w:r>
        <w:t xml:space="preserve"> </w:t>
      </w:r>
      <w:r w:rsidR="00343EC5">
        <w:t xml:space="preserve">research </w:t>
      </w:r>
      <w:r>
        <w:t>grants</w:t>
      </w:r>
      <w:r w:rsidR="00051F78">
        <w:t xml:space="preserve"> at </w:t>
      </w:r>
      <w:r w:rsidR="00343EC5">
        <w:t>an average</w:t>
      </w:r>
      <w:r w:rsidR="00051F78">
        <w:t xml:space="preserve"> cost of $2</w:t>
      </w:r>
      <w:r w:rsidR="006252C2">
        <w:t>0</w:t>
      </w:r>
      <w:r w:rsidR="00051F78">
        <w:t>0,000 each</w:t>
      </w:r>
      <w:r>
        <w:t xml:space="preserve">. The activity will also </w:t>
      </w:r>
      <w:r w:rsidR="00C62E0F">
        <w:t xml:space="preserve">examine </w:t>
      </w:r>
      <w:r>
        <w:t>contributions to existing</w:t>
      </w:r>
      <w:r w:rsidR="00044D9A">
        <w:t xml:space="preserve"> </w:t>
      </w:r>
      <w:r>
        <w:t xml:space="preserve">monitoring and analysis activities, such as </w:t>
      </w:r>
      <w:r w:rsidR="003F1269">
        <w:t>the Joint Monitoring Program</w:t>
      </w:r>
      <w:r>
        <w:t xml:space="preserve">, </w:t>
      </w:r>
      <w:r w:rsidR="00C62E0F">
        <w:t xml:space="preserve">at a cost of up to </w:t>
      </w:r>
      <w:r>
        <w:t>$</w:t>
      </w:r>
      <w:r w:rsidR="00C62E0F">
        <w:t>4</w:t>
      </w:r>
      <w:r w:rsidR="004A0602">
        <w:t xml:space="preserve"> million</w:t>
      </w:r>
      <w:r w:rsidR="00C62E0F">
        <w:t xml:space="preserve"> in total</w:t>
      </w:r>
      <w:r w:rsidR="000032E8">
        <w:t xml:space="preserve"> and the development of a suite</w:t>
      </w:r>
      <w:r w:rsidR="00C62E0F">
        <w:t xml:space="preserve"> of specific analytical tools and resources at a cost of around $2 million to support the development and implementation of WASH programs</w:t>
      </w:r>
      <w:r>
        <w:t xml:space="preserve">. </w:t>
      </w:r>
      <w:r w:rsidR="00876FB1">
        <w:t xml:space="preserve">Consultants </w:t>
      </w:r>
      <w:r w:rsidR="000755CA">
        <w:t xml:space="preserve">and academic partners </w:t>
      </w:r>
      <w:r w:rsidR="00876FB1">
        <w:t>will be engaged to develop the tools and resources as well as</w:t>
      </w:r>
      <w:r w:rsidR="00202CA7">
        <w:t xml:space="preserve"> conduct</w:t>
      </w:r>
      <w:r w:rsidR="00876FB1">
        <w:t xml:space="preserve"> the research.  </w:t>
      </w:r>
      <w:r w:rsidR="005D0A9E">
        <w:t>The</w:t>
      </w:r>
      <w:r w:rsidR="005D0A9E" w:rsidRPr="00954AA3">
        <w:t xml:space="preserve"> investments </w:t>
      </w:r>
      <w:r w:rsidR="005D0A9E">
        <w:t>into general thematic research (including towards ADRA</w:t>
      </w:r>
      <w:r w:rsidR="002C057D">
        <w:t>s</w:t>
      </w:r>
      <w:r w:rsidR="005D0A9E">
        <w:t xml:space="preserve"> and AusAID’s systematic reviews) </w:t>
      </w:r>
      <w:r w:rsidR="005D0A9E" w:rsidRPr="00954AA3">
        <w:t xml:space="preserve">will be guided by AusAID’s </w:t>
      </w:r>
      <w:r w:rsidR="00876FB1">
        <w:t xml:space="preserve">new </w:t>
      </w:r>
      <w:r w:rsidR="005D0A9E" w:rsidRPr="00954AA3">
        <w:t>Research Strategy (current</w:t>
      </w:r>
      <w:r w:rsidR="005D0A9E">
        <w:t>ly being developed)</w:t>
      </w:r>
      <w:r w:rsidR="002C057D">
        <w:t xml:space="preserve"> in consultation with </w:t>
      </w:r>
      <w:r w:rsidR="00202CA7">
        <w:t xml:space="preserve">AusAID’s </w:t>
      </w:r>
      <w:r w:rsidR="002C057D">
        <w:t>Research Section.</w:t>
      </w:r>
    </w:p>
    <w:p w:rsidR="00BD36CD" w:rsidRPr="00785DC1" w:rsidRDefault="00BD36CD" w:rsidP="001F7C03">
      <w:r>
        <w:rPr>
          <w:b/>
        </w:rPr>
        <w:t>Cross-Cutting Issues</w:t>
      </w:r>
      <w:r w:rsidR="003474E5">
        <w:rPr>
          <w:b/>
        </w:rPr>
        <w:t xml:space="preserve"> and WASH</w:t>
      </w:r>
    </w:p>
    <w:p w:rsidR="003474E5" w:rsidRDefault="00CE4E37" w:rsidP="003474E5">
      <w:pPr>
        <w:tabs>
          <w:tab w:val="num" w:pos="540"/>
        </w:tabs>
        <w:spacing w:before="120" w:after="120"/>
        <w:ind w:right="-144"/>
      </w:pPr>
      <w:r>
        <w:t>The design and implementation processes for the programs and activities identified in this concept note will incorporate the cross–cutting themes of gen</w:t>
      </w:r>
      <w:r w:rsidR="00155263">
        <w:t xml:space="preserve">der, disability, climate change, child protection </w:t>
      </w:r>
      <w:r>
        <w:t>and safeguards which are particularly relevant to WASH programs and activities.</w:t>
      </w:r>
    </w:p>
    <w:p w:rsidR="00BD36CD" w:rsidRPr="00BD36CD" w:rsidRDefault="00BD36CD" w:rsidP="00EE0845">
      <w:pPr>
        <w:spacing w:before="240" w:after="240"/>
        <w:ind w:left="426" w:hanging="426"/>
        <w:rPr>
          <w:i/>
        </w:rPr>
      </w:pPr>
      <w:r w:rsidRPr="00BD36CD">
        <w:rPr>
          <w:i/>
        </w:rPr>
        <w:t>Gender</w:t>
      </w:r>
    </w:p>
    <w:p w:rsidR="000323F3" w:rsidRDefault="003854DD" w:rsidP="000323F3">
      <w:pPr>
        <w:spacing w:before="120" w:after="120"/>
      </w:pPr>
      <w:r>
        <w:t>Recent evidence has found that the active participation of women in all aspects of WASH programming, from design and planning, to operation and maintenance as well as hygiene and sanitation behaviour change, greatly enhances the sustainability of the activities.</w:t>
      </w:r>
      <w:r>
        <w:rPr>
          <w:rStyle w:val="EndnoteReference"/>
        </w:rPr>
        <w:endnoteReference w:id="12"/>
      </w:r>
      <w:r>
        <w:t xml:space="preserve"> </w:t>
      </w:r>
      <w:r w:rsidR="00E31963" w:rsidRPr="00E31963">
        <w:t xml:space="preserve">Since women make </w:t>
      </w:r>
      <w:r w:rsidR="00B14896">
        <w:t xml:space="preserve">many </w:t>
      </w:r>
      <w:r w:rsidR="00E31963" w:rsidRPr="00E31963">
        <w:t xml:space="preserve">daily household decisions they should be targeted both as consumers and people who can influence change in family behaviours. </w:t>
      </w:r>
      <w:r w:rsidR="00A35F97">
        <w:t>Furthermore, i</w:t>
      </w:r>
      <w:r w:rsidR="00E31963" w:rsidRPr="00E31963">
        <w:t xml:space="preserve">nvolving women on management committees of water supply systems </w:t>
      </w:r>
      <w:r w:rsidR="00A20892">
        <w:t xml:space="preserve">and in operational jobs </w:t>
      </w:r>
      <w:r w:rsidR="00E31963" w:rsidRPr="00E31963">
        <w:t>often makes a transformational change in gender roles in the community.</w:t>
      </w:r>
    </w:p>
    <w:p w:rsidR="00B67C72" w:rsidRDefault="000323F3" w:rsidP="00F74897">
      <w:pPr>
        <w:ind w:right="-341"/>
      </w:pPr>
      <w:r>
        <w:t xml:space="preserve">There are a number of ways gender </w:t>
      </w:r>
      <w:r w:rsidR="00B14896">
        <w:t xml:space="preserve">issues </w:t>
      </w:r>
      <w:r w:rsidR="00C207B6">
        <w:t xml:space="preserve">will </w:t>
      </w:r>
      <w:r>
        <w:t xml:space="preserve">be addressed </w:t>
      </w:r>
      <w:r w:rsidR="00E6028A">
        <w:t>in</w:t>
      </w:r>
      <w:r>
        <w:t xml:space="preserve"> the </w:t>
      </w:r>
      <w:r w:rsidR="00B14896">
        <w:t xml:space="preserve">proposed </w:t>
      </w:r>
      <w:r>
        <w:t xml:space="preserve">activities. For example, </w:t>
      </w:r>
      <w:r w:rsidR="003854DD">
        <w:t>it is intended that</w:t>
      </w:r>
      <w:r>
        <w:t xml:space="preserve"> the new Civil Society WASH Fund </w:t>
      </w:r>
      <w:r w:rsidR="003854DD">
        <w:t>will include improved gender equality as an outcome for the fund</w:t>
      </w:r>
      <w:r w:rsidR="00B14896">
        <w:t xml:space="preserve"> </w:t>
      </w:r>
      <w:r w:rsidR="00C207B6">
        <w:t xml:space="preserve">as it is known that </w:t>
      </w:r>
      <w:r w:rsidR="00B14896">
        <w:t>w</w:t>
      </w:r>
      <w:r w:rsidR="00B14896" w:rsidRPr="00B14896">
        <w:t xml:space="preserve">hen women and men have relative equality, economies </w:t>
      </w:r>
      <w:r w:rsidR="00F70079">
        <w:t>are more productive</w:t>
      </w:r>
      <w:r w:rsidR="00B14896" w:rsidRPr="00B14896">
        <w:t>, children's health improves and there is less corruption</w:t>
      </w:r>
      <w:r w:rsidR="003854DD">
        <w:t xml:space="preserve">. </w:t>
      </w:r>
      <w:r w:rsidR="005C3AA4">
        <w:t>T</w:t>
      </w:r>
      <w:r w:rsidR="00022C32">
        <w:t xml:space="preserve">he Civil Society WASH Fund </w:t>
      </w:r>
      <w:r w:rsidR="003854DD">
        <w:t xml:space="preserve">will </w:t>
      </w:r>
      <w:r w:rsidR="005C3AA4">
        <w:t xml:space="preserve">address this outcome </w:t>
      </w:r>
      <w:r w:rsidR="003854DD">
        <w:t>by requiring CSOs</w:t>
      </w:r>
      <w:r>
        <w:t xml:space="preserve"> to produce a series of planning products, including a detailed gender and social inclusion plan.</w:t>
      </w:r>
    </w:p>
    <w:p w:rsidR="00B75642" w:rsidRDefault="00B75642" w:rsidP="00F74897">
      <w:pPr>
        <w:ind w:right="-341"/>
      </w:pPr>
    </w:p>
    <w:p w:rsidR="00BD36CD" w:rsidRPr="00BD36CD" w:rsidRDefault="00BD36CD" w:rsidP="00EE0845">
      <w:pPr>
        <w:spacing w:before="240" w:after="240"/>
        <w:ind w:left="426" w:hanging="426"/>
        <w:rPr>
          <w:i/>
        </w:rPr>
      </w:pPr>
      <w:r w:rsidRPr="00BD36CD">
        <w:rPr>
          <w:i/>
        </w:rPr>
        <w:lastRenderedPageBreak/>
        <w:t>Disability</w:t>
      </w:r>
      <w:r w:rsidR="007B738A">
        <w:rPr>
          <w:i/>
        </w:rPr>
        <w:t xml:space="preserve"> and I</w:t>
      </w:r>
      <w:r w:rsidRPr="00BD36CD">
        <w:rPr>
          <w:i/>
        </w:rPr>
        <w:t>nclusiveness</w:t>
      </w:r>
    </w:p>
    <w:p w:rsidR="00440B1B" w:rsidRDefault="00440B1B" w:rsidP="00745FDD">
      <w:pPr>
        <w:spacing w:before="120" w:after="120"/>
      </w:pPr>
      <w:r>
        <w:t>Equity of access to water and sanitation is an important goal for WASH</w:t>
      </w:r>
      <w:r w:rsidR="00C207B6">
        <w:t xml:space="preserve"> programs</w:t>
      </w:r>
      <w:r>
        <w:t xml:space="preserve">. For example, designs for latrines must accommodate the needs of all members of the community, particularly the elderly and people living with disability. This can be achieved by including vulnerable community members </w:t>
      </w:r>
      <w:r w:rsidRPr="00B67C72">
        <w:t>in decisions on facility de</w:t>
      </w:r>
      <w:r w:rsidR="00745FDD">
        <w:t>signs.</w:t>
      </w:r>
    </w:p>
    <w:p w:rsidR="00BD36CD" w:rsidRPr="00B67C72" w:rsidRDefault="00745FDD" w:rsidP="00EA2F87">
      <w:pPr>
        <w:spacing w:before="120" w:after="120"/>
        <w:ind w:right="-382"/>
      </w:pPr>
      <w:r>
        <w:t>The potential for positive outcomes extend</w:t>
      </w:r>
      <w:r w:rsidR="0074258C">
        <w:t>s</w:t>
      </w:r>
      <w:r>
        <w:t xml:space="preserve"> beyond</w:t>
      </w:r>
      <w:r w:rsidR="0074258C">
        <w:t xml:space="preserve"> just</w:t>
      </w:r>
      <w:r>
        <w:t xml:space="preserve"> access</w:t>
      </w:r>
      <w:r w:rsidR="0074258C">
        <w:t xml:space="preserve"> to services</w:t>
      </w:r>
      <w:r>
        <w:t xml:space="preserve">. </w:t>
      </w:r>
      <w:r w:rsidRPr="00B67C72">
        <w:t xml:space="preserve">When consumers, particularly poor men and women </w:t>
      </w:r>
      <w:r>
        <w:t xml:space="preserve">and </w:t>
      </w:r>
      <w:r w:rsidR="00EA2F87">
        <w:t>disabled people</w:t>
      </w:r>
      <w:r w:rsidRPr="00B67C72">
        <w:t xml:space="preserve">, participate in decisions on facility design and service levels, </w:t>
      </w:r>
      <w:r w:rsidR="00C207B6">
        <w:t xml:space="preserve">it has been found that </w:t>
      </w:r>
      <w:r w:rsidRPr="00B67C72">
        <w:t xml:space="preserve">they are more willing to pay for </w:t>
      </w:r>
      <w:r w:rsidR="00A20892">
        <w:t xml:space="preserve">affordable and appropriate </w:t>
      </w:r>
      <w:r w:rsidRPr="00B67C72">
        <w:t>water services.</w:t>
      </w:r>
      <w:r w:rsidRPr="00745FDD">
        <w:t xml:space="preserve"> </w:t>
      </w:r>
      <w:r w:rsidRPr="00B67C72">
        <w:t xml:space="preserve">It is also important to </w:t>
      </w:r>
      <w:r>
        <w:t xml:space="preserve">ensure </w:t>
      </w:r>
      <w:r w:rsidRPr="00B67C72">
        <w:t>hygiene promotion</w:t>
      </w:r>
      <w:r>
        <w:t xml:space="preserve"> activities</w:t>
      </w:r>
      <w:r w:rsidRPr="00B67C72">
        <w:t xml:space="preserve"> include the elder</w:t>
      </w:r>
      <w:r>
        <w:t>ly and people with a disability</w:t>
      </w:r>
      <w:r w:rsidRPr="00B67C72">
        <w:t xml:space="preserve"> in activities as they can have a strong influence on their families.</w:t>
      </w:r>
    </w:p>
    <w:p w:rsidR="00B67C72" w:rsidRPr="00B67C72" w:rsidRDefault="003A1EE7" w:rsidP="00C207B6">
      <w:pPr>
        <w:spacing w:before="120" w:after="120"/>
      </w:pPr>
      <w:r>
        <w:t>It is intended that SPD</w:t>
      </w:r>
      <w:r w:rsidR="00B67C72" w:rsidRPr="00B67C72">
        <w:t xml:space="preserve"> will </w:t>
      </w:r>
      <w:r>
        <w:t xml:space="preserve">promote policy dialogue on disability and inclusiveness through its partnerships with multilateral development agencies such as the World Bank and UNICEF. Such agencies can </w:t>
      </w:r>
      <w:r w:rsidR="00B333A7">
        <w:t xml:space="preserve">influence developing country governments and other donor agencies to ensure that investments in WASH </w:t>
      </w:r>
      <w:r w:rsidR="00B67C72" w:rsidRPr="00B67C72">
        <w:t xml:space="preserve">are equitable, affordable and sustainable, including for the poorest </w:t>
      </w:r>
      <w:r w:rsidR="00AE3CB3">
        <w:t xml:space="preserve">and most vulnerable </w:t>
      </w:r>
      <w:r w:rsidR="00B67C72" w:rsidRPr="00B67C72">
        <w:t>people.</w:t>
      </w:r>
    </w:p>
    <w:p w:rsidR="00BD36CD" w:rsidRPr="00BD36CD" w:rsidRDefault="00BD36CD" w:rsidP="00EE0845">
      <w:pPr>
        <w:spacing w:before="240" w:after="240"/>
        <w:ind w:left="426" w:hanging="426"/>
        <w:rPr>
          <w:i/>
        </w:rPr>
      </w:pPr>
      <w:r w:rsidRPr="00BD36CD">
        <w:rPr>
          <w:i/>
        </w:rPr>
        <w:t xml:space="preserve">Climate </w:t>
      </w:r>
      <w:r w:rsidR="007B738A">
        <w:rPr>
          <w:i/>
        </w:rPr>
        <w:t>C</w:t>
      </w:r>
      <w:r w:rsidRPr="00BD36CD">
        <w:rPr>
          <w:i/>
        </w:rPr>
        <w:t>hange</w:t>
      </w:r>
    </w:p>
    <w:p w:rsidR="00BD36CD" w:rsidRDefault="00171F88" w:rsidP="003742DB">
      <w:pPr>
        <w:spacing w:before="120" w:after="120"/>
      </w:pPr>
      <w:r>
        <w:t xml:space="preserve">Increasing sea levels and less frequent but higher intensity storms are potential consequences of climate change that will adversely affect water supply. </w:t>
      </w:r>
      <w:r w:rsidR="0035113C">
        <w:t xml:space="preserve">For example, </w:t>
      </w:r>
      <w:r w:rsidR="00401CA8">
        <w:t>rising sea levels will result in s</w:t>
      </w:r>
      <w:r>
        <w:t xml:space="preserve">aline intrusion into fresh water sources </w:t>
      </w:r>
      <w:r w:rsidR="00401CA8">
        <w:t>which will in turn affect the supply of potable water</w:t>
      </w:r>
      <w:r w:rsidR="00D77322">
        <w:t>, particularly for small islands</w:t>
      </w:r>
      <w:r w:rsidR="00401CA8">
        <w:t>. Less frequent but more intense storms will place pressure on communities that are dependent on rain water catchment</w:t>
      </w:r>
      <w:r w:rsidR="00F639E7">
        <w:t>.</w:t>
      </w:r>
      <w:r w:rsidR="00401CA8">
        <w:t xml:space="preserve"> </w:t>
      </w:r>
      <w:r w:rsidR="00F639E7">
        <w:t>W</w:t>
      </w:r>
      <w:r w:rsidR="00401CA8">
        <w:t>ater run</w:t>
      </w:r>
      <w:r w:rsidR="00CB3FB7">
        <w:t>–</w:t>
      </w:r>
      <w:r w:rsidR="00401CA8">
        <w:t>off during storm events could adversely impact water quality</w:t>
      </w:r>
      <w:r w:rsidR="00AF20FE">
        <w:t>, particularly in densely populated areas</w:t>
      </w:r>
      <w:r w:rsidR="00401CA8">
        <w:t>.</w:t>
      </w:r>
      <w:r w:rsidR="00D411D2">
        <w:rPr>
          <w:rStyle w:val="EndnoteReference"/>
        </w:rPr>
        <w:endnoteReference w:id="13"/>
      </w:r>
    </w:p>
    <w:p w:rsidR="0069315D" w:rsidRDefault="00401CA8" w:rsidP="00E6028A">
      <w:pPr>
        <w:spacing w:before="120" w:after="120"/>
      </w:pPr>
      <w:r>
        <w:t>Building community resilience to climate change is critical to ensuring sustained improvements in WASH</w:t>
      </w:r>
      <w:r w:rsidR="006225A1">
        <w:t>, in particular for access to clean water</w:t>
      </w:r>
      <w:r>
        <w:t xml:space="preserve">. </w:t>
      </w:r>
      <w:r w:rsidR="001A5CD8">
        <w:t xml:space="preserve">Research through the ADRA mechanism could encourage investigation into the potential impacts of climate change on communities living on flood plains and low lying atolls. </w:t>
      </w:r>
      <w:r w:rsidR="00874E09">
        <w:t xml:space="preserve">This issue will be further explored through the design for </w:t>
      </w:r>
      <w:r w:rsidR="006225A1">
        <w:t>the</w:t>
      </w:r>
      <w:r w:rsidR="00874E09">
        <w:t xml:space="preserve"> Research and Bilateral Support</w:t>
      </w:r>
      <w:r w:rsidR="006225A1">
        <w:t xml:space="preserve"> activity</w:t>
      </w:r>
      <w:r w:rsidR="00874E09">
        <w:t>.</w:t>
      </w:r>
    </w:p>
    <w:p w:rsidR="0069315D" w:rsidRPr="00B243E1" w:rsidRDefault="0069315D" w:rsidP="00B243E1">
      <w:pPr>
        <w:spacing w:before="240" w:after="240"/>
        <w:ind w:left="426" w:hanging="426"/>
        <w:rPr>
          <w:i/>
        </w:rPr>
      </w:pPr>
      <w:r w:rsidRPr="00B243E1">
        <w:rPr>
          <w:i/>
        </w:rPr>
        <w:t>Child Protection</w:t>
      </w:r>
    </w:p>
    <w:p w:rsidR="00E6028A" w:rsidRDefault="0069315D" w:rsidP="00E6028A">
      <w:pPr>
        <w:spacing w:before="120" w:after="120"/>
      </w:pPr>
      <w:r>
        <w:t>Water, sanitation and hygiene activities typically incorporate schools into the scope of work, with hygiene education in particular directly targeting children - t</w:t>
      </w:r>
      <w:r w:rsidRPr="00B243E1">
        <w:t>he sooner children get into the habit of washing their hands regularly, the better</w:t>
      </w:r>
      <w:r>
        <w:t>. It is therefore important to ensure that the proposed activities promote AusAID’s child protection policy and to further ensure that sufficient mechanisms are in place to support compliance.</w:t>
      </w:r>
    </w:p>
    <w:p w:rsidR="0002171A" w:rsidRDefault="0002171A" w:rsidP="00E6028A">
      <w:pPr>
        <w:spacing w:before="120" w:after="120"/>
      </w:pPr>
      <w:r>
        <w:t>The Civil Society WASH Fund is an activity that will involve direct contact with children through the contracted partners. The design can ensure compliance with AusAID’s child protection policy by requiring CSOs to describe their organisation’s safeguards in their proposals. A dedicated workshop with successful CSOs may also be warranted.</w:t>
      </w:r>
    </w:p>
    <w:p w:rsidR="00CB3FB7" w:rsidRPr="00BD36CD" w:rsidRDefault="00E6028A" w:rsidP="00CB3FB7">
      <w:pPr>
        <w:spacing w:before="240" w:after="240"/>
        <w:ind w:left="426" w:hanging="426"/>
        <w:rPr>
          <w:i/>
        </w:rPr>
      </w:pPr>
      <w:r w:rsidRPr="00F74897">
        <w:rPr>
          <w:i/>
        </w:rPr>
        <w:t>Social and Other Safeguards</w:t>
      </w:r>
    </w:p>
    <w:p w:rsidR="00B75642" w:rsidRPr="00B75642" w:rsidRDefault="00387D56" w:rsidP="00096C7C">
      <w:pPr>
        <w:ind w:right="185"/>
      </w:pPr>
      <w:r>
        <w:rPr>
          <w:color w:val="000000"/>
        </w:rPr>
        <w:t xml:space="preserve">Appropriate actions are needed to safeguard communities and investments from environmental and social disruption risks.  The design processes for WASH activities will further investigate what safeguards should be in place and how they are implemented. For example </w:t>
      </w:r>
      <w:r>
        <w:t xml:space="preserve">it is intended that guidelines for the new Civil Society WASH Fund will stipulate </w:t>
      </w:r>
      <w:r>
        <w:lastRenderedPageBreak/>
        <w:t>that any activities funded through AusAID w</w:t>
      </w:r>
      <w:r w:rsidR="002A2844">
        <w:t>ill need to provide that environmental</w:t>
      </w:r>
      <w:r w:rsidR="00CE4E37">
        <w:t xml:space="preserve">, </w:t>
      </w:r>
      <w:r w:rsidR="002A2844">
        <w:t>social</w:t>
      </w:r>
      <w:r w:rsidR="00CE4E37">
        <w:t xml:space="preserve"> and other</w:t>
      </w:r>
      <w:r w:rsidR="002A2844">
        <w:t xml:space="preserve"> impacts of activities are appropriately managed.</w:t>
      </w:r>
    </w:p>
    <w:p w:rsidR="0088142E" w:rsidRPr="003B492E" w:rsidRDefault="0088142E" w:rsidP="0069315D">
      <w:pPr>
        <w:spacing w:before="240" w:after="240"/>
        <w:rPr>
          <w:b/>
        </w:rPr>
      </w:pPr>
      <w:r w:rsidRPr="003B492E">
        <w:rPr>
          <w:b/>
        </w:rPr>
        <w:t>Implementation</w:t>
      </w:r>
      <w:r w:rsidR="001E17A3">
        <w:rPr>
          <w:b/>
        </w:rPr>
        <w:t xml:space="preserve"> Plan</w:t>
      </w:r>
    </w:p>
    <w:p w:rsidR="00CB3FB7" w:rsidRPr="00F74897" w:rsidRDefault="00CB3FB7" w:rsidP="00F74897">
      <w:pPr>
        <w:spacing w:before="120" w:after="120"/>
        <w:rPr>
          <w:i/>
        </w:rPr>
      </w:pPr>
      <w:r w:rsidRPr="00F74897">
        <w:rPr>
          <w:i/>
        </w:rPr>
        <w:t>Design Priorities and Process</w:t>
      </w:r>
    </w:p>
    <w:p w:rsidR="00B83BE8" w:rsidRDefault="007B738A" w:rsidP="00F74897">
      <w:pPr>
        <w:spacing w:before="120" w:after="120"/>
      </w:pPr>
      <w:r>
        <w:t>The d</w:t>
      </w:r>
      <w:r w:rsidR="0088142E">
        <w:t xml:space="preserve">esign processes will be managed centrally by SPD with support from consultants. Priority will </w:t>
      </w:r>
      <w:r w:rsidR="009B0B8B">
        <w:t xml:space="preserve">initially </w:t>
      </w:r>
      <w:r w:rsidR="0088142E">
        <w:t xml:space="preserve">be given to </w:t>
      </w:r>
      <w:r w:rsidR="009B0B8B">
        <w:t>implementing</w:t>
      </w:r>
      <w:r w:rsidR="0088142E">
        <w:t xml:space="preserve"> Multilateral Programs </w:t>
      </w:r>
      <w:r w:rsidR="003C66CA">
        <w:t>with agreements expected to be in place by June 2012</w:t>
      </w:r>
      <w:r w:rsidR="009B0B8B">
        <w:t>.</w:t>
      </w:r>
      <w:r w:rsidR="0088142E">
        <w:t xml:space="preserve"> </w:t>
      </w:r>
      <w:r w:rsidR="009138F5">
        <w:t>P</w:t>
      </w:r>
      <w:r w:rsidR="009B0B8B">
        <w:t xml:space="preserve">riority will </w:t>
      </w:r>
      <w:r w:rsidR="009138F5">
        <w:t xml:space="preserve">then </w:t>
      </w:r>
      <w:r w:rsidR="009B0B8B">
        <w:t>be given to the</w:t>
      </w:r>
      <w:r w:rsidR="0088142E">
        <w:t xml:space="preserve"> Civil Society WASH Fund to ensure CSOs are able to begin activities early in 2012</w:t>
      </w:r>
      <w:r w:rsidR="009138F5">
        <w:t>–</w:t>
      </w:r>
      <w:r w:rsidR="0088142E">
        <w:t xml:space="preserve">13 </w:t>
      </w:r>
      <w:r w:rsidR="00CB3FB7">
        <w:t>to</w:t>
      </w:r>
      <w:r w:rsidR="0088142E">
        <w:t xml:space="preserve"> maximis</w:t>
      </w:r>
      <w:r w:rsidR="00CB3FB7">
        <w:t>e</w:t>
      </w:r>
      <w:r w:rsidR="0088142E">
        <w:t xml:space="preserve"> the</w:t>
      </w:r>
      <w:r w:rsidR="00CB3FB7">
        <w:t xml:space="preserve"> </w:t>
      </w:r>
      <w:r w:rsidR="0088142E">
        <w:t>timeframe</w:t>
      </w:r>
      <w:r w:rsidR="00CB3FB7">
        <w:t xml:space="preserve"> available to implement the</w:t>
      </w:r>
      <w:r w:rsidR="009138F5">
        <w:t>ir</w:t>
      </w:r>
      <w:r w:rsidR="00CB3FB7">
        <w:t xml:space="preserve"> projects</w:t>
      </w:r>
      <w:r w:rsidR="0088142E" w:rsidRPr="00C14E8C">
        <w:t>.</w:t>
      </w:r>
      <w:r w:rsidR="0088142E">
        <w:t xml:space="preserve"> A table o</w:t>
      </w:r>
      <w:r w:rsidR="00E9132A">
        <w:t>n</w:t>
      </w:r>
      <w:r w:rsidR="0088142E">
        <w:t xml:space="preserve"> the implementation timeframes for each activity is included in </w:t>
      </w:r>
      <w:r w:rsidR="0088142E" w:rsidRPr="005D1DF5">
        <w:rPr>
          <w:u w:val="single"/>
        </w:rPr>
        <w:t xml:space="preserve">Annex </w:t>
      </w:r>
      <w:r w:rsidR="00004965">
        <w:rPr>
          <w:u w:val="single"/>
        </w:rPr>
        <w:t>3</w:t>
      </w:r>
      <w:r w:rsidR="0088142E">
        <w:t>.</w:t>
      </w:r>
    </w:p>
    <w:p w:rsidR="003474E5" w:rsidRDefault="003474E5" w:rsidP="003474E5">
      <w:pPr>
        <w:spacing w:before="240" w:after="240"/>
        <w:ind w:left="426" w:hanging="426"/>
        <w:rPr>
          <w:b/>
        </w:rPr>
      </w:pPr>
      <w:r>
        <w:rPr>
          <w:i/>
        </w:rPr>
        <w:t>Alignment with AusAID Country and Regional Program Areas</w:t>
      </w:r>
    </w:p>
    <w:p w:rsidR="00B243E1" w:rsidRDefault="003474E5" w:rsidP="00F74897">
      <w:pPr>
        <w:spacing w:before="120" w:after="120"/>
      </w:pPr>
      <w:r>
        <w:t xml:space="preserve">SPD recognises that activities resourced through the global WASH allocation should not operate independently of bilateral programs. Alignment with country priorities and delivery strategies will, however, vary depending on the activity. For example, research activities can directly contribute to country priorities by exploring a context specific issue, whereas core funding to multilateral partners may not have a direct relationship with bilateral programs (although the funding may contribute to outcomes in a country </w:t>
      </w:r>
      <w:r w:rsidR="00E9132A">
        <w:t xml:space="preserve">or region </w:t>
      </w:r>
      <w:r>
        <w:t>that AusAID operates within)</w:t>
      </w:r>
      <w:r w:rsidR="00E9132A">
        <w:t xml:space="preserve">.  </w:t>
      </w:r>
      <w:r>
        <w:t>The Capacity Building and new Civil Society WASH Fund activities provide clear opportunities for engagement with country and regional programs. Consultation during the design processes for both activities will seek agreement on the points of engagement and roles and responsibilities for country and regional programs.</w:t>
      </w:r>
    </w:p>
    <w:p w:rsidR="009138F5" w:rsidRDefault="009138F5" w:rsidP="00732FCA">
      <w:pPr>
        <w:spacing w:before="240" w:after="240"/>
        <w:rPr>
          <w:b/>
        </w:rPr>
      </w:pPr>
      <w:r>
        <w:rPr>
          <w:b/>
        </w:rPr>
        <w:t>Performance Framework</w:t>
      </w:r>
    </w:p>
    <w:p w:rsidR="009138F5" w:rsidRDefault="009138F5" w:rsidP="00732FCA">
      <w:pPr>
        <w:spacing w:before="240" w:after="240"/>
      </w:pPr>
      <w:r w:rsidRPr="008B76F6">
        <w:t xml:space="preserve">The success of this package of activities will be evaluated using an overarching </w:t>
      </w:r>
      <w:r w:rsidR="00186065">
        <w:t>results</w:t>
      </w:r>
      <w:r w:rsidRPr="008B76F6">
        <w:t xml:space="preserve"> framework.  A draft of this framework is at </w:t>
      </w:r>
      <w:r w:rsidRPr="008B76F6">
        <w:rPr>
          <w:u w:val="single"/>
        </w:rPr>
        <w:t>Annex 4</w:t>
      </w:r>
      <w:r w:rsidRPr="008B76F6">
        <w:t xml:space="preserve">.  </w:t>
      </w:r>
      <w:r w:rsidR="00C706E2" w:rsidRPr="008B76F6">
        <w:t xml:space="preserve">The indicators range from increased number of households with access to safe water, basic sanitation and hygiene education through to increased capacity to deliver and maintain WASH systems.  </w:t>
      </w:r>
      <w:r w:rsidRPr="008B76F6">
        <w:t>The indicators</w:t>
      </w:r>
      <w:r w:rsidR="00C706E2" w:rsidRPr="008B76F6">
        <w:t xml:space="preserve"> identified will be further refined as part of the design phases</w:t>
      </w:r>
      <w:r w:rsidRPr="008B76F6">
        <w:t xml:space="preserve"> </w:t>
      </w:r>
      <w:r w:rsidR="00C706E2" w:rsidRPr="008B76F6">
        <w:t>for each activity</w:t>
      </w:r>
      <w:r w:rsidR="00B72F0D">
        <w:t xml:space="preserve"> with emphasis placed on linkages to the </w:t>
      </w:r>
      <w:r w:rsidR="00CB51DE">
        <w:t>overarching</w:t>
      </w:r>
      <w:r w:rsidR="00B72F0D">
        <w:t xml:space="preserve"> </w:t>
      </w:r>
      <w:r w:rsidR="00CB51DE">
        <w:t>r</w:t>
      </w:r>
      <w:r w:rsidR="00B72F0D">
        <w:t xml:space="preserve">esults </w:t>
      </w:r>
      <w:r w:rsidR="00CB51DE">
        <w:t>f</w:t>
      </w:r>
      <w:r w:rsidR="00B72F0D">
        <w:t>ramework</w:t>
      </w:r>
      <w:r w:rsidR="00CB51DE">
        <w:t xml:space="preserve"> for the Australian aid program</w:t>
      </w:r>
      <w:r w:rsidR="00B72F0D">
        <w:t>.</w:t>
      </w:r>
    </w:p>
    <w:p w:rsidR="00033268" w:rsidRDefault="00033268" w:rsidP="00033268">
      <w:r>
        <w:t xml:space="preserve">The design phase will also consider if individual performance frameworks </w:t>
      </w:r>
      <w:r w:rsidR="001E17A3">
        <w:t xml:space="preserve">and/or approaches </w:t>
      </w:r>
      <w:r>
        <w:t>are needed for each of the activities.  In the case of the Civil Society WASH Fund a separate framework will be developed which will assess CSOs against key results areas and performance indicators. This framework will reinforce good practice by identifying key actors (eg women and local government) that must be targeted and changes that need to occur (eg progress to open defecation free status) as per current evidence on sustainability in WASH. CSOs will be further guided by a panel of monitoring and evaluation experts who will independently monitor and report on the progress o</w:t>
      </w:r>
      <w:r w:rsidR="001E17A3">
        <w:t>f CSOs</w:t>
      </w:r>
      <w:r>
        <w:t>. This panel approach was utilised in the current fund and is considered to be a successful innovation.</w:t>
      </w:r>
    </w:p>
    <w:p w:rsidR="0088142E" w:rsidRPr="00785DC1" w:rsidRDefault="0088142E" w:rsidP="00732FCA">
      <w:pPr>
        <w:spacing w:before="240" w:after="240"/>
      </w:pPr>
      <w:r w:rsidRPr="003B492E">
        <w:rPr>
          <w:b/>
        </w:rPr>
        <w:t>Risk Analysis</w:t>
      </w:r>
    </w:p>
    <w:p w:rsidR="005D1DF5" w:rsidRDefault="0088142E" w:rsidP="0088142E">
      <w:r>
        <w:t xml:space="preserve">The activities outlined in this concept note </w:t>
      </w:r>
      <w:r w:rsidR="005D1DF5">
        <w:t xml:space="preserve">generally </w:t>
      </w:r>
      <w:r>
        <w:t xml:space="preserve">face </w:t>
      </w:r>
      <w:r w:rsidR="005D1DF5">
        <w:t xml:space="preserve">low to </w:t>
      </w:r>
      <w:r>
        <w:t xml:space="preserve">medium level risks for the agency. </w:t>
      </w:r>
      <w:r w:rsidR="005D1DF5">
        <w:t>Similar WASH activities have successfully been funded over recent years and the current proposal aims to improve and expand on these</w:t>
      </w:r>
      <w:r w:rsidR="00CB3FB7">
        <w:t xml:space="preserve"> activities</w:t>
      </w:r>
      <w:r w:rsidR="005D1DF5">
        <w:t>.</w:t>
      </w:r>
    </w:p>
    <w:p w:rsidR="00186065" w:rsidRDefault="0088142E" w:rsidP="00732FCA">
      <w:pPr>
        <w:spacing w:before="120" w:after="120"/>
      </w:pPr>
      <w:r>
        <w:lastRenderedPageBreak/>
        <w:t>The immediate concern for SPD is the need to expend the 2011</w:t>
      </w:r>
      <w:r w:rsidR="00CB3FB7">
        <w:t>–</w:t>
      </w:r>
      <w:r>
        <w:t xml:space="preserve">12 </w:t>
      </w:r>
      <w:r w:rsidR="00CB3FB7">
        <w:t>b</w:t>
      </w:r>
      <w:r>
        <w:t xml:space="preserve">udget allocation </w:t>
      </w:r>
      <w:r w:rsidR="00DB558F">
        <w:t xml:space="preserve">of </w:t>
      </w:r>
      <w:r>
        <w:t xml:space="preserve">$25.8 million before the end of the financial year. It is SPD’s intention to direct this funding to Multilateral Programs, following completion of </w:t>
      </w:r>
      <w:r w:rsidR="005D1DF5">
        <w:t xml:space="preserve">an </w:t>
      </w:r>
      <w:r>
        <w:t xml:space="preserve">evaluation and subsequent design processes. High level risks are further detailed in </w:t>
      </w:r>
      <w:r w:rsidRPr="005D1DF5">
        <w:rPr>
          <w:u w:val="single"/>
        </w:rPr>
        <w:t>Annex</w:t>
      </w:r>
      <w:r w:rsidR="00B958C2">
        <w:rPr>
          <w:u w:val="single"/>
        </w:rPr>
        <w:t xml:space="preserve"> </w:t>
      </w:r>
      <w:r w:rsidR="00186065">
        <w:rPr>
          <w:u w:val="single"/>
        </w:rPr>
        <w:t>5</w:t>
      </w:r>
      <w:r>
        <w:t>.</w:t>
      </w:r>
    </w:p>
    <w:p w:rsidR="00186065" w:rsidRDefault="00186065">
      <w:r>
        <w:br w:type="page"/>
      </w:r>
    </w:p>
    <w:p w:rsidR="00B83BE8" w:rsidRDefault="00B83BE8" w:rsidP="00732FCA">
      <w:pPr>
        <w:spacing w:before="120" w:after="120"/>
      </w:pPr>
    </w:p>
    <w:p w:rsidR="00361492" w:rsidRDefault="00361492" w:rsidP="00732FCA">
      <w:pPr>
        <w:spacing w:before="120" w:after="120"/>
      </w:pPr>
    </w:p>
    <w:p w:rsidR="00186065" w:rsidRPr="00F065F0" w:rsidRDefault="00186065" w:rsidP="00186065">
      <w:pPr>
        <w:rPr>
          <w:b/>
        </w:rPr>
      </w:pPr>
      <w:r w:rsidRPr="00F065F0">
        <w:rPr>
          <w:b/>
        </w:rPr>
        <w:t xml:space="preserve">Annex </w:t>
      </w:r>
      <w:r>
        <w:rPr>
          <w:b/>
        </w:rPr>
        <w:t>1</w:t>
      </w:r>
      <w:r w:rsidRPr="00F065F0">
        <w:rPr>
          <w:b/>
        </w:rPr>
        <w:t xml:space="preserve"> – </w:t>
      </w:r>
      <w:r>
        <w:rPr>
          <w:b/>
        </w:rPr>
        <w:t>AusAID’s WASH Thematic Strategy</w:t>
      </w:r>
    </w:p>
    <w:p w:rsidR="00186065" w:rsidRDefault="00186065" w:rsidP="00186065"/>
    <w:p w:rsidR="00186065" w:rsidRPr="008B76F6" w:rsidRDefault="00186065" w:rsidP="00186065">
      <w:pPr>
        <w:spacing w:before="120" w:after="120"/>
      </w:pPr>
      <w:r w:rsidRPr="008B76F6">
        <w:t>In support of the Australian aid program the core goal for the package of activities will be “saving lives” through “improving public health by increasing access to safe water and sanitation”.  Each activity will also contribute to the three pillars in the WASH Thematic Strategy:</w:t>
      </w:r>
    </w:p>
    <w:p w:rsidR="00186065" w:rsidRPr="001757F5" w:rsidRDefault="00186065" w:rsidP="00186065">
      <w:pPr>
        <w:numPr>
          <w:ilvl w:val="0"/>
          <w:numId w:val="13"/>
        </w:numPr>
        <w:tabs>
          <w:tab w:val="clear" w:pos="720"/>
          <w:tab w:val="num" w:pos="426"/>
        </w:tabs>
        <w:spacing w:before="120" w:after="120"/>
        <w:ind w:left="426" w:right="-286" w:hanging="426"/>
      </w:pPr>
      <w:r>
        <w:rPr>
          <w:b/>
        </w:rPr>
        <w:t>increased access to safe water and basic s</w:t>
      </w:r>
      <w:r w:rsidRPr="001757F5">
        <w:rPr>
          <w:b/>
        </w:rPr>
        <w:t>anitation</w:t>
      </w:r>
      <w:r>
        <w:t xml:space="preserve"> – f</w:t>
      </w:r>
      <w:r w:rsidRPr="001757F5">
        <w:t>acilitate increased access to safe water and basic sanitation by funding activities that resu</w:t>
      </w:r>
      <w:r>
        <w:t>lt in the provision of universally accessible facilities;</w:t>
      </w:r>
    </w:p>
    <w:p w:rsidR="00186065" w:rsidRPr="001757F5" w:rsidRDefault="00186065" w:rsidP="00186065">
      <w:pPr>
        <w:numPr>
          <w:ilvl w:val="0"/>
          <w:numId w:val="13"/>
        </w:numPr>
        <w:tabs>
          <w:tab w:val="clear" w:pos="720"/>
          <w:tab w:val="num" w:pos="426"/>
        </w:tabs>
        <w:spacing w:before="120" w:after="120"/>
        <w:ind w:left="426" w:right="-286" w:hanging="426"/>
      </w:pPr>
      <w:r>
        <w:rPr>
          <w:b/>
        </w:rPr>
        <w:t>improved hygiene b</w:t>
      </w:r>
      <w:r w:rsidRPr="001757F5">
        <w:rPr>
          <w:b/>
        </w:rPr>
        <w:t>ehaviour</w:t>
      </w:r>
      <w:r w:rsidRPr="001757F5">
        <w:t xml:space="preserve"> – </w:t>
      </w:r>
      <w:r>
        <w:t>support the development of increased capacity and tools to ensure hygiene promotion services bring about sustainable behaviour change; and</w:t>
      </w:r>
    </w:p>
    <w:p w:rsidR="00186065" w:rsidRDefault="00186065" w:rsidP="00186065">
      <w:pPr>
        <w:numPr>
          <w:ilvl w:val="0"/>
          <w:numId w:val="13"/>
        </w:numPr>
        <w:tabs>
          <w:tab w:val="clear" w:pos="720"/>
          <w:tab w:val="num" w:pos="426"/>
        </w:tabs>
        <w:spacing w:before="120" w:after="120"/>
        <w:ind w:left="426" w:right="-286" w:hanging="426"/>
      </w:pPr>
      <w:r>
        <w:rPr>
          <w:b/>
        </w:rPr>
        <w:t>creating sustainable s</w:t>
      </w:r>
      <w:r w:rsidRPr="001757F5">
        <w:rPr>
          <w:b/>
        </w:rPr>
        <w:t>ervices</w:t>
      </w:r>
      <w:r>
        <w:t xml:space="preserve"> – s</w:t>
      </w:r>
      <w:r w:rsidRPr="001757F5">
        <w:t>upport policies and strategies that keep services operat</w:t>
      </w:r>
      <w:r>
        <w:t>ing after they are built.  This</w:t>
      </w:r>
      <w:r w:rsidRPr="001757F5">
        <w:t xml:space="preserve"> include</w:t>
      </w:r>
      <w:r>
        <w:t xml:space="preserve">s better </w:t>
      </w:r>
      <w:r w:rsidRPr="001757F5">
        <w:t>governance through public sector reform and improving service delivery though partnerships with civil society and the private sector.</w:t>
      </w:r>
    </w:p>
    <w:p w:rsidR="00186065" w:rsidRPr="001757F5" w:rsidRDefault="00186065" w:rsidP="00186065">
      <w:pPr>
        <w:spacing w:before="120" w:after="120"/>
      </w:pPr>
      <w:r w:rsidRPr="001757F5">
        <w:t xml:space="preserve">The proposed activities </w:t>
      </w:r>
      <w:r>
        <w:t xml:space="preserve">in this concept note </w:t>
      </w:r>
      <w:r w:rsidRPr="001757F5">
        <w:t>will contribute to pillars 1 and 2 (providing access and promoting hygiene) through a mix of direct contributions (for example</w:t>
      </w:r>
      <w:r>
        <w:t>, resourcing Civil Society O</w:t>
      </w:r>
      <w:r w:rsidRPr="001757F5">
        <w:t xml:space="preserve">rganisations </w:t>
      </w:r>
      <w:r>
        <w:t xml:space="preserve">(CSOs) </w:t>
      </w:r>
      <w:r w:rsidRPr="001757F5">
        <w:t>to improve access</w:t>
      </w:r>
      <w:r>
        <w:t xml:space="preserve"> for poor people in given communities</w:t>
      </w:r>
      <w:r w:rsidRPr="001757F5">
        <w:t>) and indirect contributions (</w:t>
      </w:r>
      <w:r>
        <w:t xml:space="preserve">eg </w:t>
      </w:r>
      <w:r w:rsidRPr="001757F5">
        <w:t>funding</w:t>
      </w:r>
      <w:r>
        <w:t xml:space="preserve"> to </w:t>
      </w:r>
      <w:r w:rsidRPr="001757F5">
        <w:t>multilateral WASH programs).</w:t>
      </w:r>
    </w:p>
    <w:p w:rsidR="00186065" w:rsidRDefault="00186065" w:rsidP="00186065">
      <w:pPr>
        <w:spacing w:before="120" w:after="120"/>
      </w:pPr>
      <w:r w:rsidRPr="001757F5">
        <w:t xml:space="preserve">The proposed activities will </w:t>
      </w:r>
      <w:r>
        <w:t xml:space="preserve">also </w:t>
      </w:r>
      <w:r w:rsidRPr="001757F5">
        <w:t xml:space="preserve">place a particular emphasis on supporting pillar 3 to ensure that efforts to improve access and hygiene behaviour result in sustainable outcomes.  </w:t>
      </w:r>
      <w:r>
        <w:t xml:space="preserve">Activities will </w:t>
      </w:r>
      <w:r w:rsidRPr="001757F5">
        <w:t>include: assisting with the development of appropriate nation</w:t>
      </w:r>
      <w:r>
        <w:t>al and sub–</w:t>
      </w:r>
      <w:r w:rsidRPr="001757F5">
        <w:t>national policies and regulations; training skilled technicians to install, operate and maintain facilities; and supporting the development of s</w:t>
      </w:r>
      <w:r>
        <w:t>upply chains to provide new materials</w:t>
      </w:r>
      <w:r w:rsidRPr="001757F5">
        <w:t xml:space="preserve"> </w:t>
      </w:r>
      <w:r>
        <w:t xml:space="preserve">and </w:t>
      </w:r>
      <w:r w:rsidRPr="001757F5">
        <w:t>parts.</w:t>
      </w:r>
      <w:r>
        <w:t xml:space="preserve">  Sustainable outcomes</w:t>
      </w:r>
      <w:r w:rsidRPr="00D20B72">
        <w:t xml:space="preserve"> will also be supported by funding research </w:t>
      </w:r>
      <w:r>
        <w:t xml:space="preserve">activities </w:t>
      </w:r>
      <w:r w:rsidRPr="00D20B72">
        <w:t>that will contribute to strengthening the evidence base on effective WASH practices.</w:t>
      </w:r>
    </w:p>
    <w:p w:rsidR="00361492" w:rsidRDefault="00361492" w:rsidP="0088142E">
      <w:pPr>
        <w:sectPr w:rsidR="00361492" w:rsidSect="00CF19F7">
          <w:headerReference w:type="default" r:id="rId9"/>
          <w:footerReference w:type="default" r:id="rId10"/>
          <w:pgSz w:w="11906" w:h="16838"/>
          <w:pgMar w:top="1418" w:right="849" w:bottom="1440" w:left="1800" w:header="708" w:footer="983" w:gutter="0"/>
          <w:cols w:space="708"/>
          <w:docGrid w:linePitch="360"/>
        </w:sectPr>
      </w:pPr>
    </w:p>
    <w:p w:rsidR="00361492" w:rsidRDefault="00361492" w:rsidP="001F7C03">
      <w:pPr>
        <w:rPr>
          <w:b/>
        </w:rPr>
      </w:pPr>
    </w:p>
    <w:p w:rsidR="00361492" w:rsidRDefault="00361492" w:rsidP="001F7C03">
      <w:pPr>
        <w:rPr>
          <w:b/>
        </w:rPr>
      </w:pPr>
    </w:p>
    <w:p w:rsidR="00361492" w:rsidRPr="008B76F6" w:rsidRDefault="00361492" w:rsidP="00361492">
      <w:pPr>
        <w:rPr>
          <w:b/>
        </w:rPr>
      </w:pPr>
      <w:r w:rsidRPr="008B76F6">
        <w:rPr>
          <w:b/>
        </w:rPr>
        <w:t xml:space="preserve">Annex </w:t>
      </w:r>
      <w:r w:rsidR="00186065">
        <w:rPr>
          <w:b/>
        </w:rPr>
        <w:t>2</w:t>
      </w:r>
      <w:r w:rsidRPr="008B76F6">
        <w:rPr>
          <w:b/>
        </w:rPr>
        <w:t xml:space="preserve"> – </w:t>
      </w:r>
      <w:r w:rsidR="00061ADF">
        <w:rPr>
          <w:b/>
        </w:rPr>
        <w:t xml:space="preserve">Indicative </w:t>
      </w:r>
      <w:r w:rsidRPr="008B76F6">
        <w:rPr>
          <w:b/>
        </w:rPr>
        <w:t xml:space="preserve">Funding Allocation </w:t>
      </w:r>
      <w:r w:rsidR="00061ADF" w:rsidRPr="008B76F6">
        <w:rPr>
          <w:b/>
        </w:rPr>
        <w:t xml:space="preserve">in $million </w:t>
      </w:r>
      <w:r w:rsidRPr="008B76F6">
        <w:rPr>
          <w:b/>
        </w:rPr>
        <w:t>by Activity</w:t>
      </w:r>
      <w:r w:rsidR="008E2FFB" w:rsidRPr="008B76F6">
        <w:rPr>
          <w:b/>
        </w:rPr>
        <w:t xml:space="preserve"> Based on Current Projections</w:t>
      </w:r>
    </w:p>
    <w:p w:rsidR="00361492" w:rsidRPr="001757F5" w:rsidRDefault="00361492" w:rsidP="00361492">
      <w:pPr>
        <w:spacing w:before="120" w:after="120"/>
      </w:pPr>
    </w:p>
    <w:tbl>
      <w:tblPr>
        <w:tblW w:w="12952" w:type="dxa"/>
        <w:tblLook w:val="0000" w:firstRow="0" w:lastRow="0" w:firstColumn="0" w:lastColumn="0" w:noHBand="0" w:noVBand="0"/>
      </w:tblPr>
      <w:tblGrid>
        <w:gridCol w:w="564"/>
        <w:gridCol w:w="3373"/>
        <w:gridCol w:w="1149"/>
        <w:gridCol w:w="1319"/>
        <w:gridCol w:w="1149"/>
        <w:gridCol w:w="1149"/>
        <w:gridCol w:w="1149"/>
        <w:gridCol w:w="1550"/>
        <w:gridCol w:w="1550"/>
      </w:tblGrid>
      <w:tr w:rsidR="00361492" w:rsidRPr="00446450" w:rsidTr="0031231F">
        <w:trPr>
          <w:trHeight w:val="639"/>
        </w:trPr>
        <w:tc>
          <w:tcPr>
            <w:tcW w:w="3937" w:type="dxa"/>
            <w:gridSpan w:val="2"/>
            <w:vMerge w:val="restart"/>
            <w:tcBorders>
              <w:top w:val="single" w:sz="4" w:space="0" w:color="auto"/>
              <w:left w:val="single" w:sz="4" w:space="0" w:color="auto"/>
              <w:right w:val="single" w:sz="4" w:space="0" w:color="auto"/>
            </w:tcBorders>
            <w:shd w:val="clear" w:color="auto" w:fill="E0E0E0"/>
            <w:vAlign w:val="center"/>
          </w:tcPr>
          <w:p w:rsidR="00361492" w:rsidRPr="00446450" w:rsidRDefault="00361492" w:rsidP="0031231F">
            <w:pPr>
              <w:jc w:val="center"/>
              <w:rPr>
                <w:b/>
                <w:bCs/>
              </w:rPr>
            </w:pPr>
            <w:r w:rsidRPr="00446450">
              <w:rPr>
                <w:b/>
                <w:bCs/>
              </w:rPr>
              <w:t>Proposed Activity</w:t>
            </w:r>
          </w:p>
          <w:p w:rsidR="00361492" w:rsidRPr="00446450" w:rsidRDefault="00361492" w:rsidP="0031231F">
            <w:pPr>
              <w:spacing w:before="60" w:after="60"/>
              <w:jc w:val="center"/>
              <w:rPr>
                <w:b/>
                <w:bCs/>
              </w:rPr>
            </w:pPr>
          </w:p>
        </w:tc>
        <w:tc>
          <w:tcPr>
            <w:tcW w:w="5915" w:type="dxa"/>
            <w:gridSpan w:val="5"/>
            <w:tcBorders>
              <w:top w:val="single" w:sz="4" w:space="0" w:color="auto"/>
              <w:left w:val="single" w:sz="4" w:space="0" w:color="auto"/>
              <w:bottom w:val="single" w:sz="4" w:space="0" w:color="auto"/>
              <w:right w:val="single" w:sz="4" w:space="0" w:color="auto"/>
            </w:tcBorders>
            <w:shd w:val="clear" w:color="auto" w:fill="E0E0E0"/>
          </w:tcPr>
          <w:p w:rsidR="00361492" w:rsidRPr="00446450" w:rsidRDefault="00361492" w:rsidP="0031231F">
            <w:pPr>
              <w:jc w:val="center"/>
              <w:rPr>
                <w:b/>
                <w:bCs/>
              </w:rPr>
            </w:pPr>
            <w:r w:rsidRPr="00446450">
              <w:rPr>
                <w:b/>
                <w:bCs/>
              </w:rPr>
              <w:t>Funding</w:t>
            </w:r>
          </w:p>
        </w:tc>
        <w:tc>
          <w:tcPr>
            <w:tcW w:w="1550" w:type="dxa"/>
            <w:vMerge w:val="restart"/>
            <w:tcBorders>
              <w:top w:val="single" w:sz="4" w:space="0" w:color="auto"/>
              <w:left w:val="single" w:sz="4" w:space="0" w:color="auto"/>
              <w:right w:val="single" w:sz="4" w:space="0" w:color="auto"/>
            </w:tcBorders>
            <w:shd w:val="clear" w:color="auto" w:fill="E0E0E0"/>
          </w:tcPr>
          <w:p w:rsidR="00361492" w:rsidRPr="00446450" w:rsidRDefault="00361492" w:rsidP="0031231F">
            <w:pPr>
              <w:jc w:val="center"/>
              <w:rPr>
                <w:b/>
                <w:bCs/>
              </w:rPr>
            </w:pPr>
            <w:r w:rsidRPr="00446450">
              <w:rPr>
                <w:b/>
                <w:bCs/>
              </w:rPr>
              <w:t>Total</w:t>
            </w:r>
          </w:p>
        </w:tc>
        <w:tc>
          <w:tcPr>
            <w:tcW w:w="1550" w:type="dxa"/>
            <w:vMerge w:val="restart"/>
            <w:tcBorders>
              <w:top w:val="single" w:sz="4" w:space="0" w:color="auto"/>
              <w:left w:val="single" w:sz="4" w:space="0" w:color="auto"/>
              <w:right w:val="single" w:sz="4" w:space="0" w:color="auto"/>
            </w:tcBorders>
            <w:shd w:val="clear" w:color="auto" w:fill="E0E0E0"/>
          </w:tcPr>
          <w:p w:rsidR="00361492" w:rsidRPr="00446450" w:rsidRDefault="00361492" w:rsidP="0031231F">
            <w:pPr>
              <w:jc w:val="center"/>
              <w:rPr>
                <w:b/>
                <w:bCs/>
              </w:rPr>
            </w:pPr>
            <w:r w:rsidRPr="00446450">
              <w:rPr>
                <w:b/>
                <w:bCs/>
              </w:rPr>
              <w:t>Funding Process</w:t>
            </w:r>
          </w:p>
        </w:tc>
      </w:tr>
      <w:tr w:rsidR="00361492" w:rsidRPr="00446450" w:rsidTr="0031231F">
        <w:trPr>
          <w:trHeight w:val="324"/>
        </w:trPr>
        <w:tc>
          <w:tcPr>
            <w:tcW w:w="3937" w:type="dxa"/>
            <w:gridSpan w:val="2"/>
            <w:vMerge/>
            <w:tcBorders>
              <w:left w:val="single" w:sz="4" w:space="0" w:color="auto"/>
              <w:bottom w:val="single" w:sz="8" w:space="0" w:color="auto"/>
              <w:right w:val="single" w:sz="4" w:space="0" w:color="auto"/>
            </w:tcBorders>
            <w:shd w:val="clear" w:color="auto" w:fill="auto"/>
          </w:tcPr>
          <w:p w:rsidR="00361492" w:rsidRPr="00446450" w:rsidRDefault="00361492" w:rsidP="0031231F">
            <w:pPr>
              <w:spacing w:before="60" w:after="60"/>
              <w:jc w:val="center"/>
              <w:rPr>
                <w:b/>
                <w:bCs/>
              </w:rPr>
            </w:pPr>
          </w:p>
        </w:tc>
        <w:tc>
          <w:tcPr>
            <w:tcW w:w="1149" w:type="dxa"/>
            <w:tcBorders>
              <w:top w:val="single" w:sz="4" w:space="0" w:color="auto"/>
              <w:left w:val="nil"/>
              <w:bottom w:val="single" w:sz="8" w:space="0" w:color="auto"/>
              <w:right w:val="single" w:sz="8" w:space="0" w:color="auto"/>
            </w:tcBorders>
            <w:shd w:val="clear" w:color="auto" w:fill="auto"/>
          </w:tcPr>
          <w:p w:rsidR="00361492" w:rsidRPr="00446450" w:rsidRDefault="00361492" w:rsidP="0031231F">
            <w:pPr>
              <w:spacing w:before="60" w:after="60"/>
              <w:jc w:val="center"/>
            </w:pPr>
            <w:r w:rsidRPr="00446450">
              <w:t>2011–12</w:t>
            </w:r>
          </w:p>
        </w:tc>
        <w:tc>
          <w:tcPr>
            <w:tcW w:w="1319" w:type="dxa"/>
            <w:tcBorders>
              <w:top w:val="single" w:sz="4" w:space="0" w:color="auto"/>
              <w:left w:val="nil"/>
              <w:bottom w:val="single" w:sz="8" w:space="0" w:color="auto"/>
              <w:right w:val="single" w:sz="8" w:space="0" w:color="auto"/>
            </w:tcBorders>
            <w:shd w:val="clear" w:color="auto" w:fill="auto"/>
          </w:tcPr>
          <w:p w:rsidR="00361492" w:rsidRPr="00446450" w:rsidRDefault="00361492" w:rsidP="0031231F">
            <w:pPr>
              <w:spacing w:before="60" w:after="60"/>
              <w:jc w:val="center"/>
            </w:pPr>
            <w:r w:rsidRPr="00446450">
              <w:t>2012–13</w:t>
            </w:r>
          </w:p>
        </w:tc>
        <w:tc>
          <w:tcPr>
            <w:tcW w:w="1149" w:type="dxa"/>
            <w:tcBorders>
              <w:top w:val="single" w:sz="4" w:space="0" w:color="auto"/>
              <w:left w:val="nil"/>
              <w:bottom w:val="single" w:sz="8" w:space="0" w:color="auto"/>
              <w:right w:val="single" w:sz="8" w:space="0" w:color="auto"/>
            </w:tcBorders>
            <w:shd w:val="clear" w:color="auto" w:fill="auto"/>
          </w:tcPr>
          <w:p w:rsidR="00361492" w:rsidRPr="00446450" w:rsidRDefault="00361492" w:rsidP="0031231F">
            <w:pPr>
              <w:spacing w:before="60" w:after="60"/>
              <w:jc w:val="center"/>
            </w:pPr>
            <w:r w:rsidRPr="00446450">
              <w:t>2013–14</w:t>
            </w:r>
          </w:p>
        </w:tc>
        <w:tc>
          <w:tcPr>
            <w:tcW w:w="1149" w:type="dxa"/>
            <w:tcBorders>
              <w:top w:val="single" w:sz="4" w:space="0" w:color="auto"/>
              <w:left w:val="nil"/>
              <w:bottom w:val="single" w:sz="8" w:space="0" w:color="auto"/>
              <w:right w:val="single" w:sz="8" w:space="0" w:color="auto"/>
            </w:tcBorders>
            <w:shd w:val="clear" w:color="auto" w:fill="auto"/>
          </w:tcPr>
          <w:p w:rsidR="00361492" w:rsidRPr="00446450" w:rsidRDefault="00361492" w:rsidP="0031231F">
            <w:pPr>
              <w:spacing w:before="60" w:after="60"/>
              <w:jc w:val="center"/>
            </w:pPr>
            <w:r w:rsidRPr="00446450">
              <w:t>2014–15</w:t>
            </w:r>
          </w:p>
        </w:tc>
        <w:tc>
          <w:tcPr>
            <w:tcW w:w="1149" w:type="dxa"/>
            <w:tcBorders>
              <w:top w:val="single" w:sz="4" w:space="0" w:color="auto"/>
              <w:left w:val="nil"/>
              <w:bottom w:val="single" w:sz="8" w:space="0" w:color="auto"/>
              <w:right w:val="single" w:sz="4" w:space="0" w:color="auto"/>
            </w:tcBorders>
            <w:shd w:val="clear" w:color="auto" w:fill="auto"/>
          </w:tcPr>
          <w:p w:rsidR="00361492" w:rsidRPr="00446450" w:rsidRDefault="00361492" w:rsidP="0031231F">
            <w:pPr>
              <w:spacing w:before="60" w:after="60"/>
              <w:jc w:val="center"/>
            </w:pPr>
            <w:r w:rsidRPr="00446450">
              <w:t>2015–16</w:t>
            </w:r>
          </w:p>
        </w:tc>
        <w:tc>
          <w:tcPr>
            <w:tcW w:w="1550" w:type="dxa"/>
            <w:vMerge/>
            <w:tcBorders>
              <w:left w:val="single" w:sz="4" w:space="0" w:color="auto"/>
              <w:bottom w:val="single" w:sz="8" w:space="0" w:color="auto"/>
              <w:right w:val="single" w:sz="4" w:space="0" w:color="auto"/>
            </w:tcBorders>
          </w:tcPr>
          <w:p w:rsidR="00361492" w:rsidRPr="00446450" w:rsidRDefault="00361492" w:rsidP="0031231F">
            <w:pPr>
              <w:jc w:val="center"/>
            </w:pPr>
          </w:p>
        </w:tc>
        <w:tc>
          <w:tcPr>
            <w:tcW w:w="1550" w:type="dxa"/>
            <w:vMerge/>
            <w:tcBorders>
              <w:left w:val="single" w:sz="4" w:space="0" w:color="auto"/>
              <w:bottom w:val="single" w:sz="8" w:space="0" w:color="auto"/>
              <w:right w:val="single" w:sz="4" w:space="0" w:color="auto"/>
            </w:tcBorders>
          </w:tcPr>
          <w:p w:rsidR="00361492" w:rsidRPr="00446450" w:rsidRDefault="00361492" w:rsidP="0031231F">
            <w:pPr>
              <w:jc w:val="center"/>
            </w:pPr>
          </w:p>
        </w:tc>
      </w:tr>
      <w:tr w:rsidR="00361492" w:rsidRPr="00446450" w:rsidTr="0031231F">
        <w:trPr>
          <w:trHeight w:val="324"/>
        </w:trPr>
        <w:tc>
          <w:tcPr>
            <w:tcW w:w="564" w:type="dxa"/>
            <w:tcBorders>
              <w:top w:val="nil"/>
              <w:left w:val="single" w:sz="8" w:space="0" w:color="auto"/>
              <w:bottom w:val="single" w:sz="4" w:space="0" w:color="auto"/>
              <w:right w:val="single" w:sz="8" w:space="0" w:color="auto"/>
            </w:tcBorders>
            <w:shd w:val="clear" w:color="auto" w:fill="auto"/>
          </w:tcPr>
          <w:p w:rsidR="00361492" w:rsidRPr="00446450" w:rsidRDefault="00361492" w:rsidP="0031231F">
            <w:pPr>
              <w:spacing w:before="60" w:after="60"/>
              <w:jc w:val="center"/>
            </w:pPr>
            <w:r w:rsidRPr="00446450">
              <w:t>A</w:t>
            </w:r>
          </w:p>
        </w:tc>
        <w:tc>
          <w:tcPr>
            <w:tcW w:w="3373" w:type="dxa"/>
            <w:tcBorders>
              <w:top w:val="nil"/>
              <w:left w:val="nil"/>
              <w:bottom w:val="single" w:sz="4" w:space="0" w:color="auto"/>
              <w:right w:val="single" w:sz="8" w:space="0" w:color="auto"/>
            </w:tcBorders>
            <w:shd w:val="clear" w:color="auto" w:fill="auto"/>
          </w:tcPr>
          <w:p w:rsidR="00361492" w:rsidRPr="00446450" w:rsidRDefault="00361492" w:rsidP="0031231F">
            <w:pPr>
              <w:spacing w:before="60" w:after="60"/>
              <w:jc w:val="center"/>
            </w:pPr>
            <w:r w:rsidRPr="00446450">
              <w:t>Multilateral Programs</w:t>
            </w:r>
          </w:p>
        </w:tc>
        <w:tc>
          <w:tcPr>
            <w:tcW w:w="1149" w:type="dxa"/>
            <w:tcBorders>
              <w:top w:val="nil"/>
              <w:left w:val="nil"/>
              <w:bottom w:val="single" w:sz="4" w:space="0" w:color="auto"/>
              <w:right w:val="single" w:sz="8" w:space="0" w:color="auto"/>
            </w:tcBorders>
            <w:shd w:val="clear" w:color="auto" w:fill="auto"/>
            <w:vAlign w:val="center"/>
          </w:tcPr>
          <w:p w:rsidR="00361492" w:rsidRPr="00446450" w:rsidRDefault="00361492" w:rsidP="0031231F">
            <w:pPr>
              <w:jc w:val="center"/>
              <w:rPr>
                <w:color w:val="000000"/>
              </w:rPr>
            </w:pPr>
            <w:r w:rsidRPr="00446450">
              <w:rPr>
                <w:color w:val="000000"/>
              </w:rPr>
              <w:t>25.8</w:t>
            </w:r>
          </w:p>
        </w:tc>
        <w:tc>
          <w:tcPr>
            <w:tcW w:w="1319" w:type="dxa"/>
            <w:tcBorders>
              <w:top w:val="nil"/>
              <w:left w:val="nil"/>
              <w:bottom w:val="single" w:sz="4" w:space="0" w:color="auto"/>
              <w:right w:val="single" w:sz="8" w:space="0" w:color="auto"/>
            </w:tcBorders>
            <w:shd w:val="clear" w:color="auto" w:fill="auto"/>
            <w:vAlign w:val="center"/>
          </w:tcPr>
          <w:p w:rsidR="00361492" w:rsidRPr="00446450" w:rsidRDefault="00361492" w:rsidP="0031231F">
            <w:pPr>
              <w:jc w:val="center"/>
              <w:rPr>
                <w:color w:val="000000"/>
              </w:rPr>
            </w:pPr>
            <w:r>
              <w:rPr>
                <w:color w:val="000000"/>
              </w:rPr>
              <w:t>10</w:t>
            </w:r>
          </w:p>
        </w:tc>
        <w:tc>
          <w:tcPr>
            <w:tcW w:w="1149" w:type="dxa"/>
            <w:tcBorders>
              <w:top w:val="nil"/>
              <w:left w:val="nil"/>
              <w:bottom w:val="single" w:sz="4" w:space="0" w:color="auto"/>
              <w:right w:val="single" w:sz="8" w:space="0" w:color="auto"/>
            </w:tcBorders>
            <w:shd w:val="clear" w:color="auto" w:fill="auto"/>
            <w:vAlign w:val="center"/>
          </w:tcPr>
          <w:p w:rsidR="00361492" w:rsidRPr="00446450" w:rsidRDefault="00361492" w:rsidP="0031231F">
            <w:pPr>
              <w:jc w:val="center"/>
              <w:rPr>
                <w:color w:val="000000"/>
              </w:rPr>
            </w:pPr>
            <w:r w:rsidRPr="00446450">
              <w:rPr>
                <w:color w:val="000000"/>
              </w:rPr>
              <w:t>20</w:t>
            </w:r>
          </w:p>
        </w:tc>
        <w:tc>
          <w:tcPr>
            <w:tcW w:w="1149" w:type="dxa"/>
            <w:tcBorders>
              <w:top w:val="nil"/>
              <w:left w:val="nil"/>
              <w:bottom w:val="single" w:sz="4" w:space="0" w:color="auto"/>
              <w:right w:val="single" w:sz="8" w:space="0" w:color="auto"/>
            </w:tcBorders>
            <w:shd w:val="clear" w:color="auto" w:fill="auto"/>
            <w:vAlign w:val="center"/>
          </w:tcPr>
          <w:p w:rsidR="00361492" w:rsidRPr="00446450" w:rsidRDefault="00361492" w:rsidP="0031231F">
            <w:pPr>
              <w:jc w:val="center"/>
              <w:rPr>
                <w:color w:val="000000"/>
              </w:rPr>
            </w:pPr>
            <w:r w:rsidRPr="00446450">
              <w:rPr>
                <w:color w:val="000000"/>
              </w:rPr>
              <w:t>35</w:t>
            </w:r>
          </w:p>
        </w:tc>
        <w:tc>
          <w:tcPr>
            <w:tcW w:w="1149" w:type="dxa"/>
            <w:tcBorders>
              <w:top w:val="nil"/>
              <w:left w:val="nil"/>
              <w:bottom w:val="single" w:sz="4" w:space="0" w:color="auto"/>
              <w:right w:val="single" w:sz="8" w:space="0" w:color="auto"/>
            </w:tcBorders>
            <w:shd w:val="clear" w:color="auto" w:fill="auto"/>
            <w:vAlign w:val="center"/>
          </w:tcPr>
          <w:p w:rsidR="00361492" w:rsidRPr="00446450" w:rsidRDefault="00061ADF" w:rsidP="0031231F">
            <w:pPr>
              <w:jc w:val="center"/>
              <w:rPr>
                <w:color w:val="000000"/>
              </w:rPr>
            </w:pPr>
            <w:r>
              <w:rPr>
                <w:color w:val="000000"/>
              </w:rPr>
              <w:t>37</w:t>
            </w:r>
          </w:p>
        </w:tc>
        <w:tc>
          <w:tcPr>
            <w:tcW w:w="1550" w:type="dxa"/>
            <w:tcBorders>
              <w:top w:val="nil"/>
              <w:left w:val="nil"/>
              <w:bottom w:val="single" w:sz="4" w:space="0" w:color="auto"/>
              <w:right w:val="single" w:sz="8" w:space="0" w:color="auto"/>
            </w:tcBorders>
            <w:vAlign w:val="center"/>
          </w:tcPr>
          <w:p w:rsidR="00361492" w:rsidRPr="00446450" w:rsidRDefault="00361492" w:rsidP="0031231F">
            <w:pPr>
              <w:jc w:val="center"/>
              <w:rPr>
                <w:color w:val="000000"/>
              </w:rPr>
            </w:pPr>
            <w:r>
              <w:rPr>
                <w:color w:val="000000"/>
              </w:rPr>
              <w:t>1</w:t>
            </w:r>
            <w:r w:rsidR="00061ADF">
              <w:rPr>
                <w:color w:val="000000"/>
              </w:rPr>
              <w:t>27.8</w:t>
            </w:r>
          </w:p>
        </w:tc>
        <w:tc>
          <w:tcPr>
            <w:tcW w:w="1550" w:type="dxa"/>
            <w:tcBorders>
              <w:top w:val="nil"/>
              <w:left w:val="nil"/>
              <w:bottom w:val="single" w:sz="4" w:space="0" w:color="auto"/>
              <w:right w:val="single" w:sz="8" w:space="0" w:color="auto"/>
            </w:tcBorders>
          </w:tcPr>
          <w:p w:rsidR="00361492" w:rsidRPr="00446450" w:rsidRDefault="00361492" w:rsidP="0031231F">
            <w:pPr>
              <w:jc w:val="center"/>
            </w:pPr>
            <w:r w:rsidRPr="00446450">
              <w:t>Direct Source</w:t>
            </w:r>
          </w:p>
        </w:tc>
      </w:tr>
      <w:tr w:rsidR="00361492" w:rsidRPr="00446450" w:rsidTr="0031231F">
        <w:trPr>
          <w:trHeight w:val="636"/>
        </w:trPr>
        <w:tc>
          <w:tcPr>
            <w:tcW w:w="564" w:type="dxa"/>
            <w:tcBorders>
              <w:top w:val="single" w:sz="4" w:space="0" w:color="auto"/>
              <w:left w:val="single" w:sz="4" w:space="0" w:color="auto"/>
              <w:bottom w:val="single" w:sz="4" w:space="0" w:color="auto"/>
              <w:right w:val="single" w:sz="4" w:space="0" w:color="auto"/>
            </w:tcBorders>
            <w:shd w:val="clear" w:color="auto" w:fill="auto"/>
          </w:tcPr>
          <w:p w:rsidR="00361492" w:rsidRPr="00446450" w:rsidRDefault="00361492" w:rsidP="0031231F">
            <w:pPr>
              <w:spacing w:before="60" w:after="60"/>
              <w:jc w:val="center"/>
            </w:pPr>
            <w:r w:rsidRPr="00446450">
              <w:t>B</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361492" w:rsidRPr="00446450" w:rsidRDefault="00361492" w:rsidP="0031231F">
            <w:pPr>
              <w:spacing w:before="60" w:after="60"/>
              <w:jc w:val="center"/>
            </w:pPr>
            <w:r w:rsidRPr="00446450">
              <w:t>New Civil Society WASH Fund</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606C71">
              <w:rPr>
                <w:color w:val="000000"/>
              </w:rPr>
              <w:t>15</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22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30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061ADF" w:rsidP="0031231F">
            <w:pPr>
              <w:jc w:val="center"/>
              <w:rPr>
                <w:color w:val="000000"/>
              </w:rPr>
            </w:pPr>
            <w:r>
              <w:rPr>
                <w:color w:val="000000"/>
              </w:rPr>
              <w:t>30</w:t>
            </w:r>
          </w:p>
        </w:tc>
        <w:tc>
          <w:tcPr>
            <w:tcW w:w="1550" w:type="dxa"/>
            <w:tcBorders>
              <w:top w:val="single" w:sz="4" w:space="0" w:color="auto"/>
              <w:left w:val="single" w:sz="4" w:space="0" w:color="auto"/>
              <w:bottom w:val="single" w:sz="4" w:space="0" w:color="auto"/>
              <w:right w:val="single" w:sz="4" w:space="0" w:color="auto"/>
            </w:tcBorders>
            <w:vAlign w:val="center"/>
          </w:tcPr>
          <w:p w:rsidR="00361492" w:rsidRPr="00446450" w:rsidRDefault="00361492" w:rsidP="0031231F">
            <w:pPr>
              <w:jc w:val="center"/>
              <w:rPr>
                <w:color w:val="000000"/>
              </w:rPr>
            </w:pPr>
            <w:r w:rsidRPr="00606C71">
              <w:rPr>
                <w:color w:val="000000"/>
              </w:rPr>
              <w:t>9</w:t>
            </w:r>
            <w:r w:rsidR="00061ADF">
              <w:rPr>
                <w:color w:val="000000"/>
              </w:rPr>
              <w:t>7</w:t>
            </w:r>
          </w:p>
        </w:tc>
        <w:tc>
          <w:tcPr>
            <w:tcW w:w="1550" w:type="dxa"/>
            <w:tcBorders>
              <w:top w:val="single" w:sz="4" w:space="0" w:color="auto"/>
              <w:left w:val="single" w:sz="4" w:space="0" w:color="auto"/>
              <w:bottom w:val="single" w:sz="4" w:space="0" w:color="auto"/>
              <w:right w:val="single" w:sz="4" w:space="0" w:color="auto"/>
            </w:tcBorders>
          </w:tcPr>
          <w:p w:rsidR="00361492" w:rsidRPr="00446450" w:rsidRDefault="00361492" w:rsidP="0031231F">
            <w:pPr>
              <w:jc w:val="center"/>
            </w:pPr>
            <w:r w:rsidRPr="00446450">
              <w:t>Competitive Grant</w:t>
            </w:r>
          </w:p>
        </w:tc>
      </w:tr>
      <w:tr w:rsidR="00361492" w:rsidRPr="00446450" w:rsidTr="0031231F">
        <w:trPr>
          <w:trHeight w:val="345"/>
        </w:trPr>
        <w:tc>
          <w:tcPr>
            <w:tcW w:w="564" w:type="dxa"/>
            <w:tcBorders>
              <w:top w:val="single" w:sz="4" w:space="0" w:color="auto"/>
              <w:left w:val="single" w:sz="4" w:space="0" w:color="auto"/>
              <w:bottom w:val="single" w:sz="4" w:space="0" w:color="auto"/>
              <w:right w:val="single" w:sz="4" w:space="0" w:color="auto"/>
            </w:tcBorders>
            <w:shd w:val="clear" w:color="auto" w:fill="auto"/>
          </w:tcPr>
          <w:p w:rsidR="00361492" w:rsidRPr="00446450" w:rsidRDefault="00361492" w:rsidP="0031231F">
            <w:pPr>
              <w:spacing w:before="60" w:after="60"/>
              <w:jc w:val="center"/>
            </w:pPr>
            <w:r w:rsidRPr="00446450">
              <w:t>C</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361492" w:rsidRPr="00446450" w:rsidRDefault="00361492" w:rsidP="0031231F">
            <w:pPr>
              <w:spacing w:before="60" w:after="60"/>
              <w:jc w:val="center"/>
            </w:pPr>
            <w:r w:rsidRPr="00446450">
              <w:t>Capacity Building</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4</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6</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061ADF" w:rsidP="0031231F">
            <w:pPr>
              <w:jc w:val="center"/>
              <w:rPr>
                <w:color w:val="000000"/>
              </w:rPr>
            </w:pPr>
            <w:r>
              <w:rPr>
                <w:color w:val="000000"/>
              </w:rPr>
              <w:t>6</w:t>
            </w:r>
          </w:p>
        </w:tc>
        <w:tc>
          <w:tcPr>
            <w:tcW w:w="1550" w:type="dxa"/>
            <w:tcBorders>
              <w:top w:val="single" w:sz="4" w:space="0" w:color="auto"/>
              <w:left w:val="single" w:sz="4" w:space="0" w:color="auto"/>
              <w:bottom w:val="single" w:sz="4" w:space="0" w:color="auto"/>
              <w:right w:val="single" w:sz="4" w:space="0" w:color="auto"/>
            </w:tcBorders>
            <w:vAlign w:val="center"/>
          </w:tcPr>
          <w:p w:rsidR="00361492" w:rsidRPr="00446450" w:rsidRDefault="00361492" w:rsidP="0031231F">
            <w:pPr>
              <w:jc w:val="center"/>
              <w:rPr>
                <w:color w:val="000000"/>
              </w:rPr>
            </w:pPr>
            <w:r w:rsidRPr="00446450">
              <w:rPr>
                <w:color w:val="000000"/>
              </w:rPr>
              <w:t>1</w:t>
            </w:r>
            <w:r w:rsidR="00061ADF">
              <w:rPr>
                <w:color w:val="000000"/>
              </w:rPr>
              <w:t>9</w:t>
            </w:r>
          </w:p>
        </w:tc>
        <w:tc>
          <w:tcPr>
            <w:tcW w:w="1550" w:type="dxa"/>
            <w:tcBorders>
              <w:top w:val="single" w:sz="4" w:space="0" w:color="auto"/>
              <w:left w:val="single" w:sz="4" w:space="0" w:color="auto"/>
              <w:bottom w:val="single" w:sz="4" w:space="0" w:color="auto"/>
              <w:right w:val="single" w:sz="4" w:space="0" w:color="auto"/>
            </w:tcBorders>
          </w:tcPr>
          <w:p w:rsidR="00361492" w:rsidRPr="00446450" w:rsidRDefault="00361492" w:rsidP="0031231F">
            <w:pPr>
              <w:jc w:val="center"/>
            </w:pPr>
            <w:r w:rsidRPr="00446450">
              <w:t>Competitive Grant</w:t>
            </w:r>
          </w:p>
        </w:tc>
      </w:tr>
      <w:tr w:rsidR="00361492" w:rsidRPr="00446450" w:rsidTr="0031231F">
        <w:trPr>
          <w:trHeight w:val="636"/>
        </w:trPr>
        <w:tc>
          <w:tcPr>
            <w:tcW w:w="564" w:type="dxa"/>
            <w:tcBorders>
              <w:top w:val="single" w:sz="4" w:space="0" w:color="auto"/>
              <w:left w:val="single" w:sz="4" w:space="0" w:color="auto"/>
              <w:bottom w:val="single" w:sz="4" w:space="0" w:color="auto"/>
              <w:right w:val="single" w:sz="4" w:space="0" w:color="auto"/>
            </w:tcBorders>
            <w:shd w:val="clear" w:color="auto" w:fill="auto"/>
          </w:tcPr>
          <w:p w:rsidR="00361492" w:rsidRPr="00446450" w:rsidRDefault="00361492" w:rsidP="0031231F">
            <w:pPr>
              <w:spacing w:before="60" w:after="60"/>
              <w:jc w:val="center"/>
            </w:pPr>
            <w:r w:rsidRPr="00446450">
              <w:t>D</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361492" w:rsidRPr="00446450" w:rsidRDefault="00361492" w:rsidP="0031231F">
            <w:pPr>
              <w:spacing w:before="60" w:after="60"/>
              <w:jc w:val="center"/>
            </w:pPr>
            <w:r w:rsidRPr="00446450">
              <w:t>Research and Bilateral Support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0</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2</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61492" w:rsidRPr="00446450" w:rsidRDefault="00361492" w:rsidP="0031231F">
            <w:pPr>
              <w:jc w:val="center"/>
              <w:rPr>
                <w:color w:val="000000"/>
              </w:rPr>
            </w:pPr>
            <w:r w:rsidRPr="00446450">
              <w:rPr>
                <w:color w:val="000000"/>
              </w:rPr>
              <w:t>2</w:t>
            </w:r>
          </w:p>
        </w:tc>
        <w:tc>
          <w:tcPr>
            <w:tcW w:w="1550" w:type="dxa"/>
            <w:tcBorders>
              <w:top w:val="single" w:sz="4" w:space="0" w:color="auto"/>
              <w:left w:val="single" w:sz="4" w:space="0" w:color="auto"/>
              <w:bottom w:val="single" w:sz="4" w:space="0" w:color="auto"/>
              <w:right w:val="single" w:sz="4" w:space="0" w:color="auto"/>
            </w:tcBorders>
            <w:vAlign w:val="center"/>
          </w:tcPr>
          <w:p w:rsidR="00361492" w:rsidRPr="00446450" w:rsidRDefault="00361492" w:rsidP="0031231F">
            <w:pPr>
              <w:jc w:val="center"/>
              <w:rPr>
                <w:color w:val="000000"/>
              </w:rPr>
            </w:pPr>
            <w:r w:rsidRPr="00446450">
              <w:rPr>
                <w:color w:val="000000"/>
              </w:rPr>
              <w:t>8</w:t>
            </w:r>
          </w:p>
        </w:tc>
        <w:tc>
          <w:tcPr>
            <w:tcW w:w="1550" w:type="dxa"/>
            <w:tcBorders>
              <w:top w:val="single" w:sz="4" w:space="0" w:color="auto"/>
              <w:left w:val="single" w:sz="4" w:space="0" w:color="auto"/>
              <w:bottom w:val="single" w:sz="4" w:space="0" w:color="auto"/>
              <w:right w:val="single" w:sz="4" w:space="0" w:color="auto"/>
            </w:tcBorders>
          </w:tcPr>
          <w:p w:rsidR="00361492" w:rsidRPr="00446450" w:rsidRDefault="00361492" w:rsidP="0031231F">
            <w:pPr>
              <w:jc w:val="center"/>
            </w:pPr>
            <w:r w:rsidRPr="00446450">
              <w:t>As Required</w:t>
            </w:r>
          </w:p>
        </w:tc>
      </w:tr>
      <w:tr w:rsidR="00361492" w:rsidRPr="00446450" w:rsidTr="0031231F">
        <w:trPr>
          <w:trHeight w:val="324"/>
        </w:trPr>
        <w:tc>
          <w:tcPr>
            <w:tcW w:w="3937"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61492" w:rsidRPr="00446450" w:rsidRDefault="00361492" w:rsidP="0031231F">
            <w:pPr>
              <w:jc w:val="center"/>
              <w:rPr>
                <w:b/>
                <w:bCs/>
              </w:rPr>
            </w:pPr>
            <w:r w:rsidRPr="00446450">
              <w:rPr>
                <w:b/>
                <w:bCs/>
              </w:rPr>
              <w:t>TOTAL</w:t>
            </w:r>
          </w:p>
        </w:tc>
        <w:tc>
          <w:tcPr>
            <w:tcW w:w="1149" w:type="dxa"/>
            <w:tcBorders>
              <w:top w:val="single" w:sz="4" w:space="0" w:color="auto"/>
              <w:left w:val="single" w:sz="4" w:space="0" w:color="auto"/>
              <w:bottom w:val="single" w:sz="8" w:space="0" w:color="auto"/>
              <w:right w:val="single" w:sz="8" w:space="0" w:color="auto"/>
            </w:tcBorders>
            <w:shd w:val="clear" w:color="auto" w:fill="auto"/>
            <w:vAlign w:val="center"/>
          </w:tcPr>
          <w:p w:rsidR="00361492" w:rsidRPr="00446450" w:rsidRDefault="00361492" w:rsidP="0031231F">
            <w:pPr>
              <w:jc w:val="center"/>
              <w:rPr>
                <w:b/>
                <w:color w:val="000000"/>
              </w:rPr>
            </w:pPr>
            <w:r w:rsidRPr="00446450">
              <w:rPr>
                <w:b/>
                <w:color w:val="000000"/>
              </w:rPr>
              <w:t>25.8</w:t>
            </w:r>
          </w:p>
        </w:tc>
        <w:tc>
          <w:tcPr>
            <w:tcW w:w="1319" w:type="dxa"/>
            <w:tcBorders>
              <w:top w:val="nil"/>
              <w:left w:val="nil"/>
              <w:bottom w:val="single" w:sz="8" w:space="0" w:color="auto"/>
              <w:right w:val="single" w:sz="8" w:space="0" w:color="auto"/>
            </w:tcBorders>
            <w:shd w:val="clear" w:color="auto" w:fill="auto"/>
            <w:vAlign w:val="center"/>
          </w:tcPr>
          <w:p w:rsidR="00361492" w:rsidRPr="00446450" w:rsidRDefault="00361492" w:rsidP="0031231F">
            <w:pPr>
              <w:jc w:val="center"/>
              <w:rPr>
                <w:b/>
                <w:color w:val="000000"/>
              </w:rPr>
            </w:pPr>
            <w:r>
              <w:rPr>
                <w:b/>
                <w:color w:val="000000"/>
              </w:rPr>
              <w:t>30</w:t>
            </w:r>
          </w:p>
        </w:tc>
        <w:tc>
          <w:tcPr>
            <w:tcW w:w="1149" w:type="dxa"/>
            <w:tcBorders>
              <w:top w:val="nil"/>
              <w:left w:val="nil"/>
              <w:bottom w:val="single" w:sz="8" w:space="0" w:color="auto"/>
              <w:right w:val="single" w:sz="8" w:space="0" w:color="auto"/>
            </w:tcBorders>
            <w:shd w:val="clear" w:color="auto" w:fill="auto"/>
            <w:vAlign w:val="center"/>
          </w:tcPr>
          <w:p w:rsidR="00361492" w:rsidRPr="00446450" w:rsidRDefault="00361492" w:rsidP="0031231F">
            <w:pPr>
              <w:jc w:val="center"/>
              <w:rPr>
                <w:b/>
                <w:color w:val="000000"/>
              </w:rPr>
            </w:pPr>
            <w:r w:rsidRPr="00446450">
              <w:rPr>
                <w:b/>
                <w:color w:val="000000"/>
              </w:rPr>
              <w:t>48</w:t>
            </w:r>
          </w:p>
        </w:tc>
        <w:tc>
          <w:tcPr>
            <w:tcW w:w="1149" w:type="dxa"/>
            <w:tcBorders>
              <w:top w:val="nil"/>
              <w:left w:val="nil"/>
              <w:bottom w:val="single" w:sz="8" w:space="0" w:color="auto"/>
              <w:right w:val="single" w:sz="8" w:space="0" w:color="auto"/>
            </w:tcBorders>
            <w:shd w:val="clear" w:color="auto" w:fill="auto"/>
            <w:vAlign w:val="center"/>
          </w:tcPr>
          <w:p w:rsidR="00361492" w:rsidRPr="00446450" w:rsidRDefault="00361492" w:rsidP="0031231F">
            <w:pPr>
              <w:jc w:val="center"/>
              <w:rPr>
                <w:b/>
                <w:color w:val="000000"/>
              </w:rPr>
            </w:pPr>
            <w:r w:rsidRPr="00446450">
              <w:rPr>
                <w:b/>
                <w:color w:val="000000"/>
              </w:rPr>
              <w:t>73</w:t>
            </w:r>
          </w:p>
        </w:tc>
        <w:tc>
          <w:tcPr>
            <w:tcW w:w="1149" w:type="dxa"/>
            <w:tcBorders>
              <w:top w:val="nil"/>
              <w:left w:val="nil"/>
              <w:bottom w:val="single" w:sz="8" w:space="0" w:color="auto"/>
              <w:right w:val="single" w:sz="8" w:space="0" w:color="auto"/>
            </w:tcBorders>
            <w:shd w:val="clear" w:color="auto" w:fill="auto"/>
            <w:vAlign w:val="center"/>
          </w:tcPr>
          <w:p w:rsidR="00361492" w:rsidRPr="00446450" w:rsidRDefault="00361492" w:rsidP="0031231F">
            <w:pPr>
              <w:jc w:val="center"/>
              <w:rPr>
                <w:b/>
                <w:color w:val="000000"/>
              </w:rPr>
            </w:pPr>
            <w:r w:rsidRPr="00446450">
              <w:rPr>
                <w:b/>
                <w:color w:val="000000"/>
              </w:rPr>
              <w:t>75</w:t>
            </w:r>
          </w:p>
        </w:tc>
        <w:tc>
          <w:tcPr>
            <w:tcW w:w="1550" w:type="dxa"/>
            <w:tcBorders>
              <w:top w:val="nil"/>
              <w:left w:val="nil"/>
              <w:bottom w:val="single" w:sz="8" w:space="0" w:color="auto"/>
              <w:right w:val="single" w:sz="8" w:space="0" w:color="auto"/>
            </w:tcBorders>
            <w:vAlign w:val="center"/>
          </w:tcPr>
          <w:p w:rsidR="00361492" w:rsidRPr="00446450" w:rsidRDefault="00361492" w:rsidP="0031231F">
            <w:pPr>
              <w:jc w:val="center"/>
              <w:rPr>
                <w:b/>
                <w:color w:val="000000"/>
              </w:rPr>
            </w:pPr>
            <w:r w:rsidRPr="00446450">
              <w:rPr>
                <w:b/>
                <w:color w:val="000000"/>
              </w:rPr>
              <w:t>25</w:t>
            </w:r>
            <w:r>
              <w:rPr>
                <w:b/>
                <w:color w:val="000000"/>
              </w:rPr>
              <w:t>1.8</w:t>
            </w:r>
          </w:p>
        </w:tc>
        <w:tc>
          <w:tcPr>
            <w:tcW w:w="1550" w:type="dxa"/>
            <w:tcBorders>
              <w:top w:val="nil"/>
              <w:left w:val="nil"/>
              <w:bottom w:val="single" w:sz="8" w:space="0" w:color="auto"/>
              <w:right w:val="single" w:sz="8" w:space="0" w:color="auto"/>
            </w:tcBorders>
            <w:vAlign w:val="center"/>
          </w:tcPr>
          <w:p w:rsidR="00361492" w:rsidRPr="00446450" w:rsidRDefault="00361492" w:rsidP="0031231F">
            <w:pPr>
              <w:jc w:val="center"/>
              <w:rPr>
                <w:b/>
                <w:bCs/>
                <w:color w:val="000000"/>
              </w:rPr>
            </w:pPr>
          </w:p>
        </w:tc>
      </w:tr>
    </w:tbl>
    <w:p w:rsidR="00361492" w:rsidRDefault="00361492" w:rsidP="00361492">
      <w:pPr>
        <w:rPr>
          <w:b/>
        </w:rPr>
      </w:pPr>
    </w:p>
    <w:p w:rsidR="00361492" w:rsidRDefault="00361492" w:rsidP="001F7C03">
      <w:pPr>
        <w:rPr>
          <w:b/>
        </w:rPr>
        <w:sectPr w:rsidR="00361492" w:rsidSect="00361492">
          <w:pgSz w:w="16838" w:h="11906" w:orient="landscape"/>
          <w:pgMar w:top="1800" w:right="1418" w:bottom="1800" w:left="1440" w:header="708" w:footer="983" w:gutter="0"/>
          <w:cols w:space="708"/>
          <w:docGrid w:linePitch="360"/>
        </w:sectPr>
      </w:pPr>
    </w:p>
    <w:p w:rsidR="00033268" w:rsidRPr="008B76F6" w:rsidRDefault="00033268" w:rsidP="00033268">
      <w:pPr>
        <w:rPr>
          <w:b/>
        </w:rPr>
      </w:pPr>
      <w:r w:rsidRPr="008B76F6">
        <w:rPr>
          <w:b/>
        </w:rPr>
        <w:lastRenderedPageBreak/>
        <w:t>Annex 3 – Indicative Implementation Timeframes for the Package of Global Programs and Cross–Regional Activities</w:t>
      </w:r>
    </w:p>
    <w:p w:rsidR="00033268" w:rsidRDefault="00033268" w:rsidP="00033268"/>
    <w:tbl>
      <w:tblPr>
        <w:tblStyle w:val="TableGrid"/>
        <w:tblW w:w="12242" w:type="dxa"/>
        <w:tblLayout w:type="fixed"/>
        <w:tblLook w:val="04A0" w:firstRow="1" w:lastRow="0" w:firstColumn="1" w:lastColumn="0" w:noHBand="0" w:noVBand="1"/>
      </w:tblPr>
      <w:tblGrid>
        <w:gridCol w:w="2040"/>
        <w:gridCol w:w="2040"/>
        <w:gridCol w:w="2041"/>
        <w:gridCol w:w="2040"/>
        <w:gridCol w:w="2040"/>
        <w:gridCol w:w="2041"/>
      </w:tblGrid>
      <w:tr w:rsidR="00746FD2" w:rsidRPr="00E17B02" w:rsidTr="00BC571F">
        <w:tc>
          <w:tcPr>
            <w:tcW w:w="2040" w:type="dxa"/>
            <w:shd w:val="clear" w:color="auto" w:fill="D9D9D9" w:themeFill="background1" w:themeFillShade="D9"/>
          </w:tcPr>
          <w:p w:rsidR="00746FD2" w:rsidRPr="00E17B02" w:rsidRDefault="00746FD2" w:rsidP="00033268">
            <w:pPr>
              <w:rPr>
                <w:b/>
              </w:rPr>
            </w:pPr>
            <w:r w:rsidRPr="00E17B02">
              <w:rPr>
                <w:b/>
              </w:rPr>
              <w:t>Activity</w:t>
            </w:r>
          </w:p>
        </w:tc>
        <w:tc>
          <w:tcPr>
            <w:tcW w:w="2040" w:type="dxa"/>
            <w:shd w:val="clear" w:color="auto" w:fill="D9D9D9" w:themeFill="background1" w:themeFillShade="D9"/>
          </w:tcPr>
          <w:p w:rsidR="00746FD2" w:rsidRPr="00E17B02" w:rsidRDefault="00746FD2" w:rsidP="00033268">
            <w:pPr>
              <w:rPr>
                <w:b/>
              </w:rPr>
            </w:pPr>
            <w:r w:rsidRPr="00E17B02">
              <w:rPr>
                <w:b/>
              </w:rPr>
              <w:t>Evaluation</w:t>
            </w:r>
          </w:p>
        </w:tc>
        <w:tc>
          <w:tcPr>
            <w:tcW w:w="2041" w:type="dxa"/>
            <w:shd w:val="clear" w:color="auto" w:fill="D9D9D9" w:themeFill="background1" w:themeFillShade="D9"/>
          </w:tcPr>
          <w:p w:rsidR="00746FD2" w:rsidRPr="00E17B02" w:rsidRDefault="00746FD2" w:rsidP="00033268">
            <w:pPr>
              <w:rPr>
                <w:b/>
              </w:rPr>
            </w:pPr>
            <w:r w:rsidRPr="00827F56">
              <w:rPr>
                <w:b/>
              </w:rPr>
              <w:t>Design</w:t>
            </w:r>
            <w:r w:rsidRPr="00E17B02">
              <w:rPr>
                <w:b/>
              </w:rPr>
              <w:t xml:space="preserve"> Process</w:t>
            </w:r>
          </w:p>
        </w:tc>
        <w:tc>
          <w:tcPr>
            <w:tcW w:w="2040" w:type="dxa"/>
            <w:shd w:val="clear" w:color="auto" w:fill="D9D9D9" w:themeFill="background1" w:themeFillShade="D9"/>
          </w:tcPr>
          <w:p w:rsidR="00746FD2" w:rsidRPr="00E17B02" w:rsidRDefault="00746FD2" w:rsidP="00033268">
            <w:pPr>
              <w:rPr>
                <w:b/>
              </w:rPr>
            </w:pPr>
            <w:r w:rsidRPr="00E17B02">
              <w:rPr>
                <w:b/>
              </w:rPr>
              <w:t>Peer Review</w:t>
            </w:r>
          </w:p>
        </w:tc>
        <w:tc>
          <w:tcPr>
            <w:tcW w:w="2040" w:type="dxa"/>
            <w:shd w:val="clear" w:color="auto" w:fill="D9D9D9" w:themeFill="background1" w:themeFillShade="D9"/>
          </w:tcPr>
          <w:p w:rsidR="00746FD2" w:rsidRPr="00E17B02" w:rsidRDefault="00746FD2" w:rsidP="00033268">
            <w:pPr>
              <w:rPr>
                <w:b/>
              </w:rPr>
            </w:pPr>
            <w:r w:rsidRPr="00E17B02">
              <w:rPr>
                <w:b/>
              </w:rPr>
              <w:t>Tendering Timeframe</w:t>
            </w:r>
          </w:p>
        </w:tc>
        <w:tc>
          <w:tcPr>
            <w:tcW w:w="2041" w:type="dxa"/>
            <w:shd w:val="clear" w:color="auto" w:fill="D9D9D9" w:themeFill="background1" w:themeFillShade="D9"/>
          </w:tcPr>
          <w:p w:rsidR="00746FD2" w:rsidRPr="00E17B02" w:rsidRDefault="00746FD2" w:rsidP="00033268">
            <w:pPr>
              <w:rPr>
                <w:b/>
              </w:rPr>
            </w:pPr>
            <w:r w:rsidRPr="00E17B02">
              <w:rPr>
                <w:b/>
              </w:rPr>
              <w:t>Commence Implementation</w:t>
            </w:r>
          </w:p>
        </w:tc>
      </w:tr>
      <w:tr w:rsidR="00746FD2" w:rsidTr="00BC571F">
        <w:tc>
          <w:tcPr>
            <w:tcW w:w="2040" w:type="dxa"/>
          </w:tcPr>
          <w:p w:rsidR="00746FD2" w:rsidRDefault="00746FD2" w:rsidP="00033268">
            <w:r>
              <w:t>Multilateral Programs</w:t>
            </w:r>
          </w:p>
        </w:tc>
        <w:tc>
          <w:tcPr>
            <w:tcW w:w="2040" w:type="dxa"/>
          </w:tcPr>
          <w:p w:rsidR="00746FD2" w:rsidRPr="001757F5" w:rsidRDefault="00746FD2" w:rsidP="00033268">
            <w:r>
              <w:t>December</w:t>
            </w:r>
            <w:r w:rsidRPr="001757F5">
              <w:t xml:space="preserve"> </w:t>
            </w:r>
            <w:r>
              <w:t xml:space="preserve">2011 </w:t>
            </w:r>
            <w:r w:rsidRPr="001757F5">
              <w:t xml:space="preserve">to </w:t>
            </w:r>
            <w:r>
              <w:t xml:space="preserve">February </w:t>
            </w:r>
            <w:r w:rsidRPr="001757F5">
              <w:t>201</w:t>
            </w:r>
            <w:r>
              <w:t>2</w:t>
            </w:r>
          </w:p>
        </w:tc>
        <w:tc>
          <w:tcPr>
            <w:tcW w:w="2041" w:type="dxa"/>
          </w:tcPr>
          <w:p w:rsidR="00746FD2" w:rsidRDefault="00746FD2" w:rsidP="00033268">
            <w:r>
              <w:t xml:space="preserve">February –March </w:t>
            </w:r>
            <w:r w:rsidRPr="001757F5">
              <w:t>2012</w:t>
            </w:r>
          </w:p>
        </w:tc>
        <w:tc>
          <w:tcPr>
            <w:tcW w:w="2040" w:type="dxa"/>
          </w:tcPr>
          <w:p w:rsidR="00746FD2" w:rsidRDefault="00746FD2" w:rsidP="00033268">
            <w:r>
              <w:t xml:space="preserve">March </w:t>
            </w:r>
            <w:r w:rsidRPr="001757F5">
              <w:t>2012</w:t>
            </w:r>
          </w:p>
        </w:tc>
        <w:tc>
          <w:tcPr>
            <w:tcW w:w="2040" w:type="dxa"/>
          </w:tcPr>
          <w:p w:rsidR="00746FD2" w:rsidRDefault="00746FD2" w:rsidP="00033268">
            <w:r>
              <w:t>Direct Source April  - May 2012</w:t>
            </w:r>
          </w:p>
        </w:tc>
        <w:tc>
          <w:tcPr>
            <w:tcW w:w="2041" w:type="dxa"/>
          </w:tcPr>
          <w:p w:rsidR="00746FD2" w:rsidRDefault="00746FD2" w:rsidP="00033268">
            <w:r>
              <w:t>May to June 20</w:t>
            </w:r>
            <w:r w:rsidRPr="001757F5">
              <w:t>12</w:t>
            </w:r>
          </w:p>
        </w:tc>
      </w:tr>
      <w:tr w:rsidR="00746FD2" w:rsidTr="00BC571F">
        <w:tc>
          <w:tcPr>
            <w:tcW w:w="2040" w:type="dxa"/>
          </w:tcPr>
          <w:p w:rsidR="00746FD2" w:rsidRDefault="00746FD2" w:rsidP="00033268">
            <w:r>
              <w:t>Civil Society WASH Fund</w:t>
            </w:r>
          </w:p>
        </w:tc>
        <w:tc>
          <w:tcPr>
            <w:tcW w:w="2040" w:type="dxa"/>
          </w:tcPr>
          <w:p w:rsidR="00746FD2" w:rsidRPr="00B864C7" w:rsidRDefault="00746FD2" w:rsidP="008B76F6">
            <w:r w:rsidRPr="00B864C7">
              <w:t>Mid–term R</w:t>
            </w:r>
            <w:r w:rsidRPr="00255859">
              <w:t xml:space="preserve">eview </w:t>
            </w:r>
            <w:r w:rsidRPr="00827F56">
              <w:t>(February 2011)</w:t>
            </w:r>
          </w:p>
          <w:p w:rsidR="00746FD2" w:rsidRDefault="00746FD2" w:rsidP="00B864C7">
            <w:r w:rsidRPr="00255859">
              <w:t>Final Review</w:t>
            </w:r>
            <w:r w:rsidRPr="00255859">
              <w:br/>
            </w:r>
            <w:r w:rsidRPr="00827F56">
              <w:t>(June 2012)</w:t>
            </w:r>
          </w:p>
        </w:tc>
        <w:tc>
          <w:tcPr>
            <w:tcW w:w="2041" w:type="dxa"/>
          </w:tcPr>
          <w:p w:rsidR="00746FD2" w:rsidRDefault="00746FD2" w:rsidP="00033268">
            <w:r>
              <w:t>October 2011 to January</w:t>
            </w:r>
            <w:r w:rsidRPr="001757F5">
              <w:t xml:space="preserve"> 201</w:t>
            </w:r>
            <w:r>
              <w:t>2</w:t>
            </w:r>
          </w:p>
        </w:tc>
        <w:tc>
          <w:tcPr>
            <w:tcW w:w="2040" w:type="dxa"/>
          </w:tcPr>
          <w:p w:rsidR="00746FD2" w:rsidRDefault="0075309E" w:rsidP="00033268">
            <w:r>
              <w:t xml:space="preserve">March </w:t>
            </w:r>
            <w:r w:rsidR="00746FD2">
              <w:t>2012</w:t>
            </w:r>
          </w:p>
        </w:tc>
        <w:tc>
          <w:tcPr>
            <w:tcW w:w="2040" w:type="dxa"/>
          </w:tcPr>
          <w:p w:rsidR="00746FD2" w:rsidRDefault="0075309E" w:rsidP="0075309E">
            <w:r>
              <w:t xml:space="preserve">May </w:t>
            </w:r>
            <w:r w:rsidR="00746FD2">
              <w:t xml:space="preserve">to </w:t>
            </w:r>
            <w:r>
              <w:t xml:space="preserve">July </w:t>
            </w:r>
            <w:r w:rsidR="00746FD2">
              <w:t>2012</w:t>
            </w:r>
          </w:p>
        </w:tc>
        <w:tc>
          <w:tcPr>
            <w:tcW w:w="2041" w:type="dxa"/>
          </w:tcPr>
          <w:p w:rsidR="00746FD2" w:rsidRDefault="0075309E" w:rsidP="00033268">
            <w:r>
              <w:t xml:space="preserve">September </w:t>
            </w:r>
            <w:r w:rsidR="00746FD2" w:rsidRPr="001757F5">
              <w:t>2012</w:t>
            </w:r>
          </w:p>
        </w:tc>
      </w:tr>
      <w:tr w:rsidR="00746FD2" w:rsidTr="00BC571F">
        <w:tc>
          <w:tcPr>
            <w:tcW w:w="2040" w:type="dxa"/>
          </w:tcPr>
          <w:p w:rsidR="00746FD2" w:rsidRDefault="00746FD2" w:rsidP="00033268">
            <w:r>
              <w:t>Capacity Building</w:t>
            </w:r>
          </w:p>
        </w:tc>
        <w:tc>
          <w:tcPr>
            <w:tcW w:w="2040" w:type="dxa"/>
          </w:tcPr>
          <w:p w:rsidR="00746FD2" w:rsidRDefault="00746FD2" w:rsidP="00033268">
            <w:r>
              <w:t>N/A</w:t>
            </w:r>
          </w:p>
        </w:tc>
        <w:tc>
          <w:tcPr>
            <w:tcW w:w="2041" w:type="dxa"/>
          </w:tcPr>
          <w:p w:rsidR="00746FD2" w:rsidRDefault="007A3E58" w:rsidP="00033268">
            <w:r>
              <w:t xml:space="preserve">April </w:t>
            </w:r>
            <w:r w:rsidR="00746FD2">
              <w:t>to May 2012</w:t>
            </w:r>
          </w:p>
        </w:tc>
        <w:tc>
          <w:tcPr>
            <w:tcW w:w="2040" w:type="dxa"/>
          </w:tcPr>
          <w:p w:rsidR="00746FD2" w:rsidRDefault="00746FD2" w:rsidP="00033268">
            <w:r>
              <w:t>June</w:t>
            </w:r>
            <w:r w:rsidRPr="001757F5">
              <w:t xml:space="preserve"> 2012</w:t>
            </w:r>
          </w:p>
        </w:tc>
        <w:tc>
          <w:tcPr>
            <w:tcW w:w="2040" w:type="dxa"/>
          </w:tcPr>
          <w:p w:rsidR="00746FD2" w:rsidRDefault="00746FD2" w:rsidP="00033268">
            <w:r>
              <w:t>July to August 2012</w:t>
            </w:r>
          </w:p>
        </w:tc>
        <w:tc>
          <w:tcPr>
            <w:tcW w:w="2041" w:type="dxa"/>
          </w:tcPr>
          <w:p w:rsidR="00746FD2" w:rsidRPr="001757F5" w:rsidRDefault="00746FD2" w:rsidP="00033268">
            <w:pPr>
              <w:rPr>
                <w:i/>
              </w:rPr>
            </w:pPr>
            <w:r>
              <w:t>September</w:t>
            </w:r>
            <w:r w:rsidRPr="001757F5">
              <w:t xml:space="preserve"> </w:t>
            </w:r>
            <w:r>
              <w:t>20</w:t>
            </w:r>
            <w:r w:rsidRPr="001757F5">
              <w:t>12</w:t>
            </w:r>
          </w:p>
        </w:tc>
      </w:tr>
      <w:tr w:rsidR="00746FD2" w:rsidTr="00BC571F">
        <w:tc>
          <w:tcPr>
            <w:tcW w:w="2040" w:type="dxa"/>
          </w:tcPr>
          <w:p w:rsidR="00746FD2" w:rsidRDefault="00746FD2" w:rsidP="00033268">
            <w:r>
              <w:t>Research and Bilateral Support</w:t>
            </w:r>
          </w:p>
        </w:tc>
        <w:tc>
          <w:tcPr>
            <w:tcW w:w="2040" w:type="dxa"/>
          </w:tcPr>
          <w:p w:rsidR="00746FD2" w:rsidRDefault="00746FD2" w:rsidP="00033268">
            <w:r>
              <w:t>N/A</w:t>
            </w:r>
          </w:p>
        </w:tc>
        <w:tc>
          <w:tcPr>
            <w:tcW w:w="2041" w:type="dxa"/>
          </w:tcPr>
          <w:p w:rsidR="00746FD2" w:rsidRDefault="00B63CB5" w:rsidP="00B63CB5">
            <w:r>
              <w:t xml:space="preserve">January </w:t>
            </w:r>
            <w:r w:rsidR="00746FD2">
              <w:t xml:space="preserve">to </w:t>
            </w:r>
            <w:r>
              <w:t xml:space="preserve">February </w:t>
            </w:r>
            <w:r w:rsidR="00746FD2">
              <w:t>2012</w:t>
            </w:r>
          </w:p>
        </w:tc>
        <w:tc>
          <w:tcPr>
            <w:tcW w:w="2040" w:type="dxa"/>
          </w:tcPr>
          <w:p w:rsidR="00746FD2" w:rsidRPr="001757F5" w:rsidRDefault="00B63CB5" w:rsidP="00033268">
            <w:r>
              <w:t>N/A</w:t>
            </w:r>
          </w:p>
        </w:tc>
        <w:tc>
          <w:tcPr>
            <w:tcW w:w="2040" w:type="dxa"/>
          </w:tcPr>
          <w:p w:rsidR="00746FD2" w:rsidRDefault="00B63CB5" w:rsidP="00033268">
            <w:r>
              <w:t>Ongoing, as necessary</w:t>
            </w:r>
          </w:p>
        </w:tc>
        <w:tc>
          <w:tcPr>
            <w:tcW w:w="2041" w:type="dxa"/>
          </w:tcPr>
          <w:p w:rsidR="00746FD2" w:rsidRPr="001757F5" w:rsidRDefault="00B63CB5" w:rsidP="00033268">
            <w:pPr>
              <w:tabs>
                <w:tab w:val="num" w:pos="540"/>
              </w:tabs>
              <w:spacing w:before="120" w:after="120"/>
            </w:pPr>
            <w:r>
              <w:t xml:space="preserve">May </w:t>
            </w:r>
            <w:r w:rsidR="00746FD2">
              <w:t>2012</w:t>
            </w:r>
            <w:r>
              <w:t>, beginning with ADRA round</w:t>
            </w:r>
          </w:p>
        </w:tc>
      </w:tr>
    </w:tbl>
    <w:p w:rsidR="00033268" w:rsidRDefault="00033268" w:rsidP="00033268">
      <w:pPr>
        <w:rPr>
          <w:b/>
        </w:rPr>
      </w:pPr>
    </w:p>
    <w:p w:rsidR="00033268" w:rsidRDefault="00033268">
      <w:pPr>
        <w:rPr>
          <w:b/>
        </w:rPr>
      </w:pPr>
      <w:r>
        <w:rPr>
          <w:b/>
        </w:rPr>
        <w:br w:type="page"/>
      </w:r>
    </w:p>
    <w:p w:rsidR="00033268" w:rsidRPr="008B76F6" w:rsidRDefault="00033268" w:rsidP="00033268">
      <w:pPr>
        <w:rPr>
          <w:b/>
        </w:rPr>
      </w:pPr>
      <w:r w:rsidRPr="008B76F6">
        <w:rPr>
          <w:b/>
        </w:rPr>
        <w:lastRenderedPageBreak/>
        <w:t>Annex 4 – Results Framework for the Package of Global Programs and Cross-Regional Activities</w:t>
      </w:r>
    </w:p>
    <w:p w:rsidR="0015224C" w:rsidRDefault="0015224C" w:rsidP="0015224C">
      <w:pPr>
        <w:spacing w:before="120" w:after="120"/>
      </w:pPr>
    </w:p>
    <w:tbl>
      <w:tblPr>
        <w:tblStyle w:val="TableGrid"/>
        <w:tblW w:w="14709" w:type="dxa"/>
        <w:tblLook w:val="04A0" w:firstRow="1" w:lastRow="0" w:firstColumn="1" w:lastColumn="0" w:noHBand="0" w:noVBand="1"/>
      </w:tblPr>
      <w:tblGrid>
        <w:gridCol w:w="2235"/>
        <w:gridCol w:w="6662"/>
        <w:gridCol w:w="5812"/>
      </w:tblGrid>
      <w:tr w:rsidR="00E42254" w:rsidTr="00F74897">
        <w:tc>
          <w:tcPr>
            <w:tcW w:w="2235" w:type="dxa"/>
            <w:shd w:val="clear" w:color="auto" w:fill="D9D9D9" w:themeFill="background1" w:themeFillShade="D9"/>
          </w:tcPr>
          <w:p w:rsidR="00E42254" w:rsidRPr="00333DAA" w:rsidRDefault="001E43EA" w:rsidP="008B76F6">
            <w:pPr>
              <w:spacing w:before="120" w:after="120"/>
              <w:rPr>
                <w:b/>
                <w:sz w:val="22"/>
                <w:szCs w:val="22"/>
              </w:rPr>
            </w:pPr>
            <w:r>
              <w:rPr>
                <w:b/>
                <w:sz w:val="22"/>
                <w:szCs w:val="22"/>
              </w:rPr>
              <w:t>Activity</w:t>
            </w:r>
          </w:p>
        </w:tc>
        <w:tc>
          <w:tcPr>
            <w:tcW w:w="6662" w:type="dxa"/>
            <w:shd w:val="clear" w:color="auto" w:fill="D9D9D9" w:themeFill="background1" w:themeFillShade="D9"/>
          </w:tcPr>
          <w:p w:rsidR="00E42254" w:rsidRPr="00333DAA" w:rsidRDefault="00E42254" w:rsidP="008B76F6">
            <w:pPr>
              <w:spacing w:before="120" w:after="120"/>
              <w:rPr>
                <w:b/>
                <w:sz w:val="22"/>
                <w:szCs w:val="22"/>
              </w:rPr>
            </w:pPr>
            <w:r w:rsidRPr="00333DAA">
              <w:rPr>
                <w:b/>
                <w:sz w:val="22"/>
                <w:szCs w:val="22"/>
              </w:rPr>
              <w:t>Output</w:t>
            </w:r>
          </w:p>
        </w:tc>
        <w:tc>
          <w:tcPr>
            <w:tcW w:w="5812" w:type="dxa"/>
            <w:shd w:val="clear" w:color="auto" w:fill="D9D9D9" w:themeFill="background1" w:themeFillShade="D9"/>
          </w:tcPr>
          <w:p w:rsidR="00E42254" w:rsidRPr="00333DAA" w:rsidRDefault="00E42254" w:rsidP="008B76F6">
            <w:pPr>
              <w:spacing w:before="120" w:after="120"/>
              <w:rPr>
                <w:b/>
                <w:sz w:val="22"/>
                <w:szCs w:val="22"/>
              </w:rPr>
            </w:pPr>
            <w:r w:rsidRPr="00333DAA">
              <w:rPr>
                <w:b/>
                <w:sz w:val="22"/>
                <w:szCs w:val="22"/>
              </w:rPr>
              <w:t>Outcomes</w:t>
            </w:r>
            <w:r w:rsidR="001606BB">
              <w:rPr>
                <w:b/>
                <w:sz w:val="22"/>
                <w:szCs w:val="22"/>
              </w:rPr>
              <w:t xml:space="preserve"> or Impacts</w:t>
            </w:r>
          </w:p>
        </w:tc>
      </w:tr>
      <w:tr w:rsidR="00EC05C3" w:rsidTr="00F74897">
        <w:tc>
          <w:tcPr>
            <w:tcW w:w="2235" w:type="dxa"/>
          </w:tcPr>
          <w:p w:rsidR="00EC05C3" w:rsidRPr="007A70D9" w:rsidRDefault="00EC05C3" w:rsidP="008B76F6">
            <w:pPr>
              <w:pStyle w:val="ListParagraph"/>
              <w:numPr>
                <w:ilvl w:val="0"/>
                <w:numId w:val="17"/>
              </w:numPr>
              <w:spacing w:before="120" w:after="120"/>
              <w:ind w:left="426" w:hanging="426"/>
              <w:rPr>
                <w:sz w:val="22"/>
                <w:szCs w:val="22"/>
              </w:rPr>
            </w:pPr>
            <w:r w:rsidRPr="007A70D9">
              <w:rPr>
                <w:sz w:val="22"/>
                <w:szCs w:val="22"/>
              </w:rPr>
              <w:t>Multilateral Programs</w:t>
            </w:r>
          </w:p>
        </w:tc>
        <w:tc>
          <w:tcPr>
            <w:tcW w:w="6662" w:type="dxa"/>
          </w:tcPr>
          <w:p w:rsidR="003A5EBB" w:rsidRDefault="003A5EBB" w:rsidP="008B76F6">
            <w:pPr>
              <w:spacing w:before="120" w:after="120"/>
              <w:rPr>
                <w:sz w:val="22"/>
                <w:szCs w:val="22"/>
              </w:rPr>
            </w:pPr>
            <w:r>
              <w:rPr>
                <w:sz w:val="22"/>
                <w:szCs w:val="22"/>
              </w:rPr>
              <w:t>Increased engagement and alignment with Australian aid program and AusAID’s country and regional activities</w:t>
            </w:r>
          </w:p>
          <w:p w:rsidR="00B46B55" w:rsidRDefault="003A5EBB" w:rsidP="008B76F6">
            <w:pPr>
              <w:spacing w:before="120" w:after="120"/>
              <w:rPr>
                <w:sz w:val="22"/>
                <w:szCs w:val="22"/>
              </w:rPr>
            </w:pPr>
            <w:r>
              <w:rPr>
                <w:sz w:val="22"/>
                <w:szCs w:val="22"/>
              </w:rPr>
              <w:t>Increased m</w:t>
            </w:r>
            <w:r w:rsidR="00CF558F">
              <w:rPr>
                <w:sz w:val="22"/>
                <w:szCs w:val="22"/>
              </w:rPr>
              <w:t>ultilateral</w:t>
            </w:r>
            <w:r w:rsidR="008E2FFB">
              <w:rPr>
                <w:sz w:val="22"/>
                <w:szCs w:val="22"/>
              </w:rPr>
              <w:t>–</w:t>
            </w:r>
            <w:r w:rsidR="00CF558F">
              <w:rPr>
                <w:sz w:val="22"/>
                <w:szCs w:val="22"/>
              </w:rPr>
              <w:t xml:space="preserve">led WASH </w:t>
            </w:r>
            <w:r w:rsidR="00B63543">
              <w:rPr>
                <w:sz w:val="22"/>
                <w:szCs w:val="22"/>
              </w:rPr>
              <w:t>events supporting capacity building of developing country partners.</w:t>
            </w:r>
          </w:p>
          <w:p w:rsidR="00B46B55" w:rsidRDefault="001C5887" w:rsidP="008B76F6">
            <w:pPr>
              <w:spacing w:before="120" w:after="120"/>
              <w:rPr>
                <w:sz w:val="22"/>
                <w:szCs w:val="22"/>
              </w:rPr>
            </w:pPr>
            <w:r>
              <w:rPr>
                <w:sz w:val="22"/>
                <w:szCs w:val="22"/>
              </w:rPr>
              <w:t xml:space="preserve">Increased </w:t>
            </w:r>
            <w:r w:rsidR="00B63543">
              <w:rPr>
                <w:sz w:val="22"/>
                <w:szCs w:val="22"/>
              </w:rPr>
              <w:t>number of households with access to safe water, basic sanitation</w:t>
            </w:r>
            <w:r w:rsidR="007F3A05">
              <w:rPr>
                <w:sz w:val="22"/>
                <w:szCs w:val="22"/>
              </w:rPr>
              <w:t xml:space="preserve"> and hygiene education.</w:t>
            </w:r>
          </w:p>
          <w:p w:rsidR="001606BB" w:rsidRDefault="001C5887" w:rsidP="008B76F6">
            <w:pPr>
              <w:spacing w:before="120" w:after="120"/>
              <w:rPr>
                <w:sz w:val="22"/>
                <w:szCs w:val="22"/>
              </w:rPr>
            </w:pPr>
            <w:r>
              <w:rPr>
                <w:sz w:val="22"/>
                <w:szCs w:val="22"/>
              </w:rPr>
              <w:t xml:space="preserve">Increased number of </w:t>
            </w:r>
            <w:r w:rsidR="0032012F">
              <w:rPr>
                <w:sz w:val="22"/>
                <w:szCs w:val="22"/>
              </w:rPr>
              <w:t xml:space="preserve">new </w:t>
            </w:r>
            <w:r w:rsidR="001606BB">
              <w:rPr>
                <w:sz w:val="22"/>
                <w:szCs w:val="22"/>
              </w:rPr>
              <w:t>government policies and regulation</w:t>
            </w:r>
            <w:r w:rsidR="0032012F">
              <w:rPr>
                <w:sz w:val="22"/>
                <w:szCs w:val="22"/>
              </w:rPr>
              <w:t>s</w:t>
            </w:r>
            <w:r w:rsidR="001606BB">
              <w:rPr>
                <w:sz w:val="22"/>
                <w:szCs w:val="22"/>
              </w:rPr>
              <w:t xml:space="preserve"> </w:t>
            </w:r>
            <w:r w:rsidR="0032012F">
              <w:rPr>
                <w:sz w:val="22"/>
                <w:szCs w:val="22"/>
              </w:rPr>
              <w:t>for</w:t>
            </w:r>
            <w:r w:rsidR="001606BB">
              <w:rPr>
                <w:sz w:val="22"/>
                <w:szCs w:val="22"/>
              </w:rPr>
              <w:t xml:space="preserve"> WASH management</w:t>
            </w:r>
          </w:p>
          <w:p w:rsidR="001606BB" w:rsidRPr="00333DAA" w:rsidRDefault="001606BB" w:rsidP="008B76F6">
            <w:pPr>
              <w:spacing w:before="120" w:after="120"/>
              <w:rPr>
                <w:sz w:val="22"/>
                <w:szCs w:val="22"/>
              </w:rPr>
            </w:pPr>
            <w:r>
              <w:rPr>
                <w:sz w:val="22"/>
                <w:szCs w:val="22"/>
              </w:rPr>
              <w:t>Improved methods for development and implementation of WASH infrastructure</w:t>
            </w:r>
            <w:r w:rsidR="007711F6">
              <w:rPr>
                <w:sz w:val="22"/>
                <w:szCs w:val="22"/>
              </w:rPr>
              <w:t xml:space="preserve"> and sustainable maintenance</w:t>
            </w:r>
          </w:p>
        </w:tc>
        <w:tc>
          <w:tcPr>
            <w:tcW w:w="5812" w:type="dxa"/>
          </w:tcPr>
          <w:p w:rsidR="007711F6" w:rsidRDefault="006E3FC4" w:rsidP="008B76F6">
            <w:pPr>
              <w:spacing w:before="120" w:after="120"/>
              <w:rPr>
                <w:sz w:val="22"/>
                <w:szCs w:val="22"/>
              </w:rPr>
            </w:pPr>
            <w:r>
              <w:rPr>
                <w:sz w:val="22"/>
                <w:szCs w:val="22"/>
              </w:rPr>
              <w:t>Improved capacity of WASH sector practitioners and institutions in developing countr</w:t>
            </w:r>
            <w:r w:rsidR="0032012F">
              <w:rPr>
                <w:sz w:val="22"/>
                <w:szCs w:val="22"/>
              </w:rPr>
              <w:t>ies</w:t>
            </w:r>
          </w:p>
          <w:p w:rsidR="007711F6" w:rsidRDefault="007711F6" w:rsidP="008B76F6">
            <w:pPr>
              <w:spacing w:before="120" w:after="120"/>
              <w:rPr>
                <w:sz w:val="22"/>
                <w:szCs w:val="22"/>
              </w:rPr>
            </w:pPr>
            <w:r>
              <w:rPr>
                <w:sz w:val="22"/>
                <w:szCs w:val="22"/>
              </w:rPr>
              <w:t>Increased access to safe water and basic sanitation and improved hygiene behaviours</w:t>
            </w:r>
          </w:p>
          <w:p w:rsidR="007711F6" w:rsidRDefault="007711F6" w:rsidP="008B76F6">
            <w:pPr>
              <w:spacing w:before="120" w:after="120"/>
              <w:rPr>
                <w:sz w:val="22"/>
                <w:szCs w:val="22"/>
              </w:rPr>
            </w:pPr>
            <w:r>
              <w:rPr>
                <w:sz w:val="22"/>
                <w:szCs w:val="22"/>
              </w:rPr>
              <w:t>Reduced rate of water–related diseases such as diarrhoea, intestinal worms and parasitic infections</w:t>
            </w:r>
          </w:p>
          <w:p w:rsidR="00295B9B" w:rsidRDefault="007711F6" w:rsidP="008B76F6">
            <w:pPr>
              <w:spacing w:before="120" w:after="120"/>
              <w:rPr>
                <w:sz w:val="22"/>
                <w:szCs w:val="22"/>
              </w:rPr>
            </w:pPr>
            <w:r>
              <w:rPr>
                <w:sz w:val="22"/>
                <w:szCs w:val="22"/>
              </w:rPr>
              <w:t>Improved quality, allocation and affordability of water and sanitation</w:t>
            </w:r>
            <w:r w:rsidR="0032012F">
              <w:rPr>
                <w:sz w:val="22"/>
                <w:szCs w:val="22"/>
              </w:rPr>
              <w:t xml:space="preserve"> services</w:t>
            </w:r>
          </w:p>
          <w:p w:rsidR="003A5EBB" w:rsidRPr="00B46B55" w:rsidRDefault="003A5EBB" w:rsidP="0032012F">
            <w:pPr>
              <w:spacing w:before="120" w:after="120"/>
              <w:rPr>
                <w:sz w:val="22"/>
                <w:szCs w:val="22"/>
              </w:rPr>
            </w:pPr>
            <w:r>
              <w:rPr>
                <w:sz w:val="22"/>
                <w:szCs w:val="22"/>
              </w:rPr>
              <w:t xml:space="preserve">Improved enabling environments to support sustainability of WASH </w:t>
            </w:r>
            <w:r w:rsidR="0032012F">
              <w:rPr>
                <w:sz w:val="22"/>
                <w:szCs w:val="22"/>
              </w:rPr>
              <w:t>services</w:t>
            </w:r>
          </w:p>
        </w:tc>
      </w:tr>
      <w:tr w:rsidR="00EC05C3" w:rsidTr="00F74897">
        <w:tc>
          <w:tcPr>
            <w:tcW w:w="2235" w:type="dxa"/>
          </w:tcPr>
          <w:p w:rsidR="00EC05C3" w:rsidRPr="00333DAA" w:rsidRDefault="00EC05C3" w:rsidP="008B76F6">
            <w:pPr>
              <w:pStyle w:val="ListParagraph"/>
              <w:numPr>
                <w:ilvl w:val="0"/>
                <w:numId w:val="17"/>
              </w:numPr>
              <w:spacing w:before="120" w:after="120"/>
              <w:ind w:left="426" w:hanging="426"/>
              <w:rPr>
                <w:sz w:val="22"/>
                <w:szCs w:val="22"/>
              </w:rPr>
            </w:pPr>
            <w:r w:rsidRPr="00333DAA">
              <w:rPr>
                <w:sz w:val="22"/>
                <w:szCs w:val="22"/>
              </w:rPr>
              <w:t>New Civil Society WASH Fund</w:t>
            </w:r>
          </w:p>
        </w:tc>
        <w:tc>
          <w:tcPr>
            <w:tcW w:w="6662" w:type="dxa"/>
          </w:tcPr>
          <w:p w:rsidR="00306E41" w:rsidRPr="00306E41" w:rsidRDefault="001C5887" w:rsidP="008B76F6">
            <w:pPr>
              <w:spacing w:before="120" w:after="120"/>
              <w:rPr>
                <w:sz w:val="22"/>
                <w:szCs w:val="22"/>
              </w:rPr>
            </w:pPr>
            <w:r>
              <w:rPr>
                <w:sz w:val="22"/>
                <w:szCs w:val="22"/>
              </w:rPr>
              <w:t xml:space="preserve">Increased </w:t>
            </w:r>
            <w:r w:rsidR="002E49D0">
              <w:rPr>
                <w:sz w:val="22"/>
                <w:szCs w:val="22"/>
              </w:rPr>
              <w:t>n</w:t>
            </w:r>
            <w:r w:rsidR="00306E41" w:rsidRPr="00306E41">
              <w:rPr>
                <w:sz w:val="22"/>
                <w:szCs w:val="22"/>
              </w:rPr>
              <w:t>umber of household connections to piped water supply systems or improved point source water supply</w:t>
            </w:r>
          </w:p>
          <w:p w:rsidR="00306E41" w:rsidRPr="00306E41" w:rsidRDefault="001C5887" w:rsidP="008B76F6">
            <w:pPr>
              <w:spacing w:before="120" w:after="120"/>
              <w:rPr>
                <w:sz w:val="22"/>
                <w:szCs w:val="22"/>
              </w:rPr>
            </w:pPr>
            <w:r>
              <w:rPr>
                <w:sz w:val="22"/>
                <w:szCs w:val="22"/>
              </w:rPr>
              <w:t xml:space="preserve">Increased </w:t>
            </w:r>
            <w:r w:rsidR="002E49D0">
              <w:rPr>
                <w:sz w:val="22"/>
                <w:szCs w:val="22"/>
              </w:rPr>
              <w:t>n</w:t>
            </w:r>
            <w:r w:rsidR="00306E41" w:rsidRPr="00306E41">
              <w:rPr>
                <w:sz w:val="22"/>
                <w:szCs w:val="22"/>
              </w:rPr>
              <w:t>umber of households with an improved sanitation facility</w:t>
            </w:r>
          </w:p>
          <w:p w:rsidR="00306E41" w:rsidRPr="00306E41" w:rsidRDefault="001C5887" w:rsidP="008B76F6">
            <w:pPr>
              <w:spacing w:before="120" w:after="120"/>
              <w:rPr>
                <w:sz w:val="22"/>
                <w:szCs w:val="22"/>
              </w:rPr>
            </w:pPr>
            <w:r>
              <w:rPr>
                <w:sz w:val="22"/>
                <w:szCs w:val="22"/>
              </w:rPr>
              <w:t xml:space="preserve">Increased </w:t>
            </w:r>
            <w:r w:rsidR="002E49D0">
              <w:rPr>
                <w:sz w:val="22"/>
                <w:szCs w:val="22"/>
              </w:rPr>
              <w:t>n</w:t>
            </w:r>
            <w:r w:rsidR="00306E41" w:rsidRPr="00306E41">
              <w:rPr>
                <w:sz w:val="22"/>
                <w:szCs w:val="22"/>
              </w:rPr>
              <w:t>umber of schools and other community facilities with water, sanitation and hand washing facilities with soap</w:t>
            </w:r>
          </w:p>
          <w:p w:rsidR="00EC05C3" w:rsidRPr="00306E41" w:rsidRDefault="001C5887" w:rsidP="008B76F6">
            <w:pPr>
              <w:spacing w:before="120" w:after="120"/>
              <w:rPr>
                <w:rFonts w:ascii="Franklin Gothic Book" w:hAnsi="Franklin Gothic Book"/>
                <w:sz w:val="18"/>
                <w:szCs w:val="18"/>
              </w:rPr>
            </w:pPr>
            <w:r>
              <w:rPr>
                <w:sz w:val="22"/>
                <w:szCs w:val="22"/>
              </w:rPr>
              <w:t xml:space="preserve">Increased </w:t>
            </w:r>
            <w:r w:rsidR="002E49D0">
              <w:rPr>
                <w:sz w:val="22"/>
                <w:szCs w:val="22"/>
              </w:rPr>
              <w:t>n</w:t>
            </w:r>
            <w:r w:rsidR="00306E41" w:rsidRPr="00306E41">
              <w:rPr>
                <w:sz w:val="22"/>
                <w:szCs w:val="22"/>
              </w:rPr>
              <w:t>umber of education programs provided on improved hygiene practices</w:t>
            </w:r>
          </w:p>
        </w:tc>
        <w:tc>
          <w:tcPr>
            <w:tcW w:w="5812" w:type="dxa"/>
          </w:tcPr>
          <w:p w:rsidR="002E49D0" w:rsidRDefault="002E49D0" w:rsidP="008B76F6">
            <w:pPr>
              <w:spacing w:before="120" w:after="120"/>
              <w:rPr>
                <w:sz w:val="22"/>
                <w:szCs w:val="22"/>
              </w:rPr>
            </w:pPr>
            <w:r>
              <w:rPr>
                <w:sz w:val="22"/>
                <w:szCs w:val="22"/>
              </w:rPr>
              <w:t>Increased access to safe water and basic sanitation and improved hygiene behaviours</w:t>
            </w:r>
          </w:p>
          <w:p w:rsidR="002E49D0" w:rsidRDefault="002E49D0" w:rsidP="008B76F6">
            <w:pPr>
              <w:spacing w:before="120" w:after="120"/>
              <w:rPr>
                <w:sz w:val="22"/>
                <w:szCs w:val="22"/>
              </w:rPr>
            </w:pPr>
            <w:r>
              <w:rPr>
                <w:sz w:val="22"/>
                <w:szCs w:val="22"/>
              </w:rPr>
              <w:t>Reduced rate of water–related diseases such as diarrhoea, intestinal worms and parasitic infections</w:t>
            </w:r>
          </w:p>
          <w:p w:rsidR="003A5EBB" w:rsidRDefault="003A5EBB" w:rsidP="008B76F6">
            <w:pPr>
              <w:spacing w:before="120" w:after="120"/>
              <w:rPr>
                <w:sz w:val="22"/>
                <w:szCs w:val="22"/>
              </w:rPr>
            </w:pPr>
            <w:r>
              <w:rPr>
                <w:sz w:val="22"/>
                <w:szCs w:val="22"/>
              </w:rPr>
              <w:t xml:space="preserve">Increased geographic spread of AusAID’s involvement and </w:t>
            </w:r>
            <w:r w:rsidR="00130104">
              <w:rPr>
                <w:sz w:val="22"/>
                <w:szCs w:val="22"/>
              </w:rPr>
              <w:t xml:space="preserve">improved </w:t>
            </w:r>
            <w:r>
              <w:rPr>
                <w:sz w:val="22"/>
                <w:szCs w:val="22"/>
              </w:rPr>
              <w:t xml:space="preserve">targeting of </w:t>
            </w:r>
            <w:r w:rsidR="00130104">
              <w:rPr>
                <w:sz w:val="22"/>
                <w:szCs w:val="22"/>
              </w:rPr>
              <w:t>the poorest and most vulnerable</w:t>
            </w:r>
          </w:p>
          <w:p w:rsidR="00D0592F" w:rsidRPr="00333DAA" w:rsidRDefault="00D0592F" w:rsidP="008B76F6">
            <w:pPr>
              <w:spacing w:before="120" w:after="120"/>
              <w:rPr>
                <w:sz w:val="22"/>
                <w:szCs w:val="22"/>
              </w:rPr>
            </w:pPr>
          </w:p>
        </w:tc>
      </w:tr>
    </w:tbl>
    <w:p w:rsidR="008D5AD9" w:rsidRDefault="008D5AD9">
      <w:r>
        <w:br w:type="page"/>
      </w:r>
    </w:p>
    <w:tbl>
      <w:tblPr>
        <w:tblStyle w:val="TableGrid"/>
        <w:tblW w:w="14709" w:type="dxa"/>
        <w:tblLook w:val="04A0" w:firstRow="1" w:lastRow="0" w:firstColumn="1" w:lastColumn="0" w:noHBand="0" w:noVBand="1"/>
      </w:tblPr>
      <w:tblGrid>
        <w:gridCol w:w="2235"/>
        <w:gridCol w:w="6662"/>
        <w:gridCol w:w="5812"/>
      </w:tblGrid>
      <w:tr w:rsidR="00EC05C3" w:rsidTr="00F74897">
        <w:tc>
          <w:tcPr>
            <w:tcW w:w="2235" w:type="dxa"/>
          </w:tcPr>
          <w:p w:rsidR="00EC05C3" w:rsidRPr="00333DAA" w:rsidRDefault="00EC05C3" w:rsidP="008B76F6">
            <w:pPr>
              <w:pStyle w:val="ListParagraph"/>
              <w:numPr>
                <w:ilvl w:val="0"/>
                <w:numId w:val="17"/>
              </w:numPr>
              <w:spacing w:before="120" w:after="120"/>
              <w:ind w:left="426" w:hanging="426"/>
              <w:rPr>
                <w:sz w:val="22"/>
                <w:szCs w:val="22"/>
              </w:rPr>
            </w:pPr>
            <w:r w:rsidRPr="00333DAA">
              <w:rPr>
                <w:sz w:val="22"/>
                <w:szCs w:val="22"/>
              </w:rPr>
              <w:lastRenderedPageBreak/>
              <w:t>Capacity Building</w:t>
            </w:r>
          </w:p>
        </w:tc>
        <w:tc>
          <w:tcPr>
            <w:tcW w:w="6662" w:type="dxa"/>
          </w:tcPr>
          <w:p w:rsidR="001C5887" w:rsidRDefault="001C5887" w:rsidP="008B76F6">
            <w:pPr>
              <w:spacing w:before="120" w:after="120"/>
              <w:rPr>
                <w:sz w:val="22"/>
                <w:szCs w:val="22"/>
              </w:rPr>
            </w:pPr>
            <w:r>
              <w:rPr>
                <w:sz w:val="22"/>
                <w:szCs w:val="22"/>
              </w:rPr>
              <w:t>Increased number of partnerships established to provide training and capacity building programs</w:t>
            </w:r>
          </w:p>
          <w:p w:rsidR="00B64245" w:rsidRPr="00333DAA" w:rsidRDefault="001C5887" w:rsidP="008B76F6">
            <w:pPr>
              <w:spacing w:before="120" w:after="120"/>
              <w:rPr>
                <w:sz w:val="22"/>
                <w:szCs w:val="22"/>
              </w:rPr>
            </w:pPr>
            <w:r>
              <w:rPr>
                <w:sz w:val="22"/>
                <w:szCs w:val="22"/>
              </w:rPr>
              <w:t>Increased number of training and capacity building opportunities provided (eg workshops, seminars and conferences)</w:t>
            </w:r>
          </w:p>
        </w:tc>
        <w:tc>
          <w:tcPr>
            <w:tcW w:w="5812" w:type="dxa"/>
          </w:tcPr>
          <w:p w:rsidR="006E3FC4" w:rsidRDefault="006E3FC4" w:rsidP="008B76F6">
            <w:pPr>
              <w:spacing w:before="120" w:after="120"/>
              <w:rPr>
                <w:sz w:val="22"/>
                <w:szCs w:val="22"/>
              </w:rPr>
            </w:pPr>
            <w:r>
              <w:rPr>
                <w:sz w:val="22"/>
                <w:szCs w:val="22"/>
              </w:rPr>
              <w:t xml:space="preserve">Improved capacity of WASH sector practitioners and institutions in </w:t>
            </w:r>
            <w:r w:rsidR="0032012F">
              <w:rPr>
                <w:sz w:val="22"/>
                <w:szCs w:val="22"/>
              </w:rPr>
              <w:t xml:space="preserve">Australia and </w:t>
            </w:r>
            <w:r>
              <w:rPr>
                <w:sz w:val="22"/>
                <w:szCs w:val="22"/>
              </w:rPr>
              <w:t>developing countr</w:t>
            </w:r>
            <w:r w:rsidR="0032012F">
              <w:rPr>
                <w:sz w:val="22"/>
                <w:szCs w:val="22"/>
              </w:rPr>
              <w:t>ies</w:t>
            </w:r>
          </w:p>
          <w:p w:rsidR="00372FBA" w:rsidRPr="00333DAA" w:rsidRDefault="00372FBA" w:rsidP="0032012F">
            <w:pPr>
              <w:spacing w:before="120" w:after="120"/>
              <w:rPr>
                <w:sz w:val="22"/>
                <w:szCs w:val="22"/>
              </w:rPr>
            </w:pPr>
            <w:r>
              <w:rPr>
                <w:sz w:val="22"/>
                <w:szCs w:val="22"/>
              </w:rPr>
              <w:t xml:space="preserve">Improved financial and technical support to maintain public water and sanitation </w:t>
            </w:r>
            <w:r w:rsidR="0032012F">
              <w:rPr>
                <w:sz w:val="22"/>
                <w:szCs w:val="22"/>
              </w:rPr>
              <w:t>services</w:t>
            </w:r>
          </w:p>
        </w:tc>
      </w:tr>
      <w:tr w:rsidR="00EC05C3" w:rsidTr="00F74897">
        <w:trPr>
          <w:trHeight w:val="558"/>
        </w:trPr>
        <w:tc>
          <w:tcPr>
            <w:tcW w:w="2235" w:type="dxa"/>
            <w:tcBorders>
              <w:bottom w:val="single" w:sz="4" w:space="0" w:color="auto"/>
            </w:tcBorders>
          </w:tcPr>
          <w:p w:rsidR="00EC05C3" w:rsidRPr="00333DAA" w:rsidRDefault="00EC05C3" w:rsidP="008B76F6">
            <w:pPr>
              <w:pStyle w:val="ListParagraph"/>
              <w:numPr>
                <w:ilvl w:val="0"/>
                <w:numId w:val="17"/>
              </w:numPr>
              <w:spacing w:before="120" w:after="120"/>
              <w:ind w:left="426" w:hanging="426"/>
              <w:rPr>
                <w:sz w:val="22"/>
                <w:szCs w:val="22"/>
              </w:rPr>
            </w:pPr>
            <w:r w:rsidRPr="00333DAA">
              <w:rPr>
                <w:sz w:val="22"/>
                <w:szCs w:val="22"/>
              </w:rPr>
              <w:t>Research and Bilateral Support</w:t>
            </w:r>
          </w:p>
        </w:tc>
        <w:tc>
          <w:tcPr>
            <w:tcW w:w="6662" w:type="dxa"/>
            <w:tcBorders>
              <w:bottom w:val="single" w:sz="4" w:space="0" w:color="auto"/>
            </w:tcBorders>
          </w:tcPr>
          <w:p w:rsidR="00EC05C3" w:rsidRDefault="0090179A" w:rsidP="008B76F6">
            <w:pPr>
              <w:spacing w:before="120" w:after="120"/>
              <w:rPr>
                <w:sz w:val="22"/>
                <w:szCs w:val="22"/>
              </w:rPr>
            </w:pPr>
            <w:r>
              <w:rPr>
                <w:sz w:val="22"/>
                <w:szCs w:val="22"/>
              </w:rPr>
              <w:t>Increase</w:t>
            </w:r>
            <w:r w:rsidR="00130104">
              <w:rPr>
                <w:sz w:val="22"/>
                <w:szCs w:val="22"/>
              </w:rPr>
              <w:t xml:space="preserve">d </w:t>
            </w:r>
            <w:r>
              <w:rPr>
                <w:sz w:val="22"/>
                <w:szCs w:val="22"/>
              </w:rPr>
              <w:t>n</w:t>
            </w:r>
            <w:r w:rsidR="00DE7B4B">
              <w:rPr>
                <w:sz w:val="22"/>
                <w:szCs w:val="22"/>
              </w:rPr>
              <w:t>umber of ADRA awards granted</w:t>
            </w:r>
            <w:r>
              <w:rPr>
                <w:sz w:val="22"/>
                <w:szCs w:val="22"/>
              </w:rPr>
              <w:t xml:space="preserve"> and systematic reviews undertaken on WASH–related issues</w:t>
            </w:r>
          </w:p>
          <w:p w:rsidR="00C948A9" w:rsidRPr="00333DAA" w:rsidRDefault="00130104" w:rsidP="008B76F6">
            <w:pPr>
              <w:spacing w:before="120" w:after="120"/>
              <w:rPr>
                <w:sz w:val="22"/>
                <w:szCs w:val="22"/>
              </w:rPr>
            </w:pPr>
            <w:r>
              <w:rPr>
                <w:sz w:val="22"/>
                <w:szCs w:val="22"/>
              </w:rPr>
              <w:t>Increased n</w:t>
            </w:r>
            <w:r w:rsidR="0090179A">
              <w:rPr>
                <w:sz w:val="22"/>
                <w:szCs w:val="22"/>
              </w:rPr>
              <w:t>umber of analytical tools and resources developed for AusAID’s country and regional programs</w:t>
            </w:r>
            <w:r w:rsidR="00B64245">
              <w:rPr>
                <w:sz w:val="22"/>
                <w:szCs w:val="22"/>
              </w:rPr>
              <w:t xml:space="preserve"> </w:t>
            </w:r>
          </w:p>
        </w:tc>
        <w:tc>
          <w:tcPr>
            <w:tcW w:w="5812" w:type="dxa"/>
            <w:tcBorders>
              <w:bottom w:val="single" w:sz="4" w:space="0" w:color="auto"/>
            </w:tcBorders>
          </w:tcPr>
          <w:p w:rsidR="00EC05C3" w:rsidRDefault="00EC548A" w:rsidP="008B76F6">
            <w:pPr>
              <w:spacing w:before="120" w:after="120"/>
              <w:rPr>
                <w:sz w:val="22"/>
                <w:szCs w:val="22"/>
              </w:rPr>
            </w:pPr>
            <w:r>
              <w:rPr>
                <w:sz w:val="22"/>
                <w:szCs w:val="22"/>
              </w:rPr>
              <w:t xml:space="preserve">Improved </w:t>
            </w:r>
            <w:r w:rsidR="0055685F">
              <w:rPr>
                <w:sz w:val="22"/>
                <w:szCs w:val="22"/>
              </w:rPr>
              <w:t xml:space="preserve">global </w:t>
            </w:r>
            <w:r>
              <w:rPr>
                <w:sz w:val="22"/>
                <w:szCs w:val="22"/>
              </w:rPr>
              <w:t>knowledge</w:t>
            </w:r>
            <w:r w:rsidR="0055685F">
              <w:rPr>
                <w:sz w:val="22"/>
                <w:szCs w:val="22"/>
              </w:rPr>
              <w:t xml:space="preserve"> base for WASH through the publication of high quality </w:t>
            </w:r>
            <w:r>
              <w:rPr>
                <w:sz w:val="22"/>
                <w:szCs w:val="22"/>
              </w:rPr>
              <w:t xml:space="preserve">thematic </w:t>
            </w:r>
            <w:r w:rsidR="0055685F">
              <w:rPr>
                <w:sz w:val="22"/>
                <w:szCs w:val="22"/>
              </w:rPr>
              <w:t>research</w:t>
            </w:r>
          </w:p>
          <w:p w:rsidR="0090179A" w:rsidRDefault="0090179A" w:rsidP="008B76F6">
            <w:pPr>
              <w:spacing w:before="120" w:after="120"/>
              <w:rPr>
                <w:sz w:val="22"/>
                <w:szCs w:val="22"/>
              </w:rPr>
            </w:pPr>
            <w:r>
              <w:rPr>
                <w:sz w:val="22"/>
                <w:szCs w:val="22"/>
              </w:rPr>
              <w:t>A</w:t>
            </w:r>
            <w:r w:rsidR="0055685F">
              <w:rPr>
                <w:sz w:val="22"/>
                <w:szCs w:val="22"/>
              </w:rPr>
              <w:t xml:space="preserve">nalytical tools </w:t>
            </w:r>
            <w:r>
              <w:rPr>
                <w:sz w:val="22"/>
                <w:szCs w:val="22"/>
              </w:rPr>
              <w:t>and resources of relevan</w:t>
            </w:r>
            <w:r w:rsidR="00130104">
              <w:rPr>
                <w:sz w:val="22"/>
                <w:szCs w:val="22"/>
              </w:rPr>
              <w:t>ce</w:t>
            </w:r>
            <w:r>
              <w:rPr>
                <w:sz w:val="22"/>
                <w:szCs w:val="22"/>
              </w:rPr>
              <w:t xml:space="preserve"> and use to AusAID’s country and regional programs</w:t>
            </w:r>
          </w:p>
          <w:p w:rsidR="0055685F" w:rsidRDefault="0090179A" w:rsidP="008B76F6">
            <w:pPr>
              <w:spacing w:before="120" w:after="120"/>
              <w:rPr>
                <w:sz w:val="22"/>
                <w:szCs w:val="22"/>
              </w:rPr>
            </w:pPr>
            <w:r>
              <w:rPr>
                <w:sz w:val="22"/>
                <w:szCs w:val="22"/>
              </w:rPr>
              <w:t>Improved results delivered by AusAID’s country and regional programs due to a stronger WASH evidence base</w:t>
            </w:r>
          </w:p>
          <w:p w:rsidR="00C948A9" w:rsidRPr="00333DAA" w:rsidRDefault="00C948A9" w:rsidP="008B76F6">
            <w:pPr>
              <w:spacing w:before="120" w:after="120"/>
              <w:rPr>
                <w:sz w:val="22"/>
                <w:szCs w:val="22"/>
              </w:rPr>
            </w:pPr>
          </w:p>
        </w:tc>
      </w:tr>
    </w:tbl>
    <w:p w:rsidR="00004965" w:rsidRDefault="00004965">
      <w:pPr>
        <w:rPr>
          <w:b/>
        </w:rPr>
      </w:pPr>
    </w:p>
    <w:p w:rsidR="00BB5B3F" w:rsidRDefault="00BB5B3F" w:rsidP="001F7C03">
      <w:pPr>
        <w:sectPr w:rsidR="00BB5B3F" w:rsidSect="00E17B02">
          <w:pgSz w:w="16838" w:h="11906" w:orient="landscape"/>
          <w:pgMar w:top="1800" w:right="1440" w:bottom="1800" w:left="1440" w:header="708" w:footer="708" w:gutter="0"/>
          <w:cols w:space="708"/>
          <w:docGrid w:linePitch="360"/>
        </w:sectPr>
      </w:pPr>
    </w:p>
    <w:p w:rsidR="00E943E7" w:rsidRPr="00F065F0" w:rsidRDefault="00E943E7" w:rsidP="00E943E7">
      <w:pPr>
        <w:rPr>
          <w:b/>
        </w:rPr>
      </w:pPr>
      <w:r w:rsidRPr="00F065F0">
        <w:rPr>
          <w:b/>
        </w:rPr>
        <w:lastRenderedPageBreak/>
        <w:t xml:space="preserve">Annex </w:t>
      </w:r>
      <w:r w:rsidR="00186065">
        <w:rPr>
          <w:b/>
        </w:rPr>
        <w:t>5</w:t>
      </w:r>
      <w:r w:rsidR="00186065" w:rsidRPr="00F065F0">
        <w:rPr>
          <w:b/>
        </w:rPr>
        <w:t xml:space="preserve"> </w:t>
      </w:r>
      <w:r w:rsidRPr="00F065F0">
        <w:rPr>
          <w:b/>
        </w:rPr>
        <w:t>– Risk Management</w:t>
      </w:r>
    </w:p>
    <w:p w:rsidR="00E943E7" w:rsidRDefault="00E943E7" w:rsidP="00E943E7"/>
    <w:p w:rsidR="00E943E7" w:rsidRPr="001757F5" w:rsidRDefault="00E943E7" w:rsidP="00E943E7">
      <w:pPr>
        <w:tabs>
          <w:tab w:val="num" w:pos="540"/>
        </w:tabs>
        <w:spacing w:before="120" w:after="120"/>
      </w:pPr>
      <w:r w:rsidRPr="001757F5">
        <w:t xml:space="preserve">The following high level risks have been identified for the </w:t>
      </w:r>
      <w:r>
        <w:t>package</w:t>
      </w:r>
      <w:r w:rsidRPr="001757F5">
        <w:t xml:space="preserve"> of activities:</w:t>
      </w:r>
    </w:p>
    <w:tbl>
      <w:tblPr>
        <w:tblW w:w="97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179"/>
        <w:gridCol w:w="1304"/>
        <w:gridCol w:w="6315"/>
      </w:tblGrid>
      <w:tr w:rsidR="00E943E7" w:rsidRPr="001757F5" w:rsidTr="00751E90">
        <w:trPr>
          <w:cantSplit/>
          <w:jc w:val="center"/>
        </w:trPr>
        <w:tc>
          <w:tcPr>
            <w:tcW w:w="2179" w:type="dxa"/>
            <w:shd w:val="clear" w:color="auto" w:fill="D9D9D9"/>
          </w:tcPr>
          <w:p w:rsidR="00E943E7" w:rsidRPr="001757F5" w:rsidRDefault="00E943E7" w:rsidP="00751E90">
            <w:pPr>
              <w:pStyle w:val="List-number-1"/>
              <w:numPr>
                <w:ilvl w:val="0"/>
                <w:numId w:val="0"/>
              </w:numPr>
              <w:rPr>
                <w:rFonts w:ascii="Times New Roman" w:hAnsi="Times New Roman"/>
                <w:b/>
                <w:sz w:val="24"/>
              </w:rPr>
            </w:pPr>
            <w:r w:rsidRPr="001757F5">
              <w:rPr>
                <w:rFonts w:ascii="Times New Roman" w:hAnsi="Times New Roman"/>
                <w:b/>
                <w:sz w:val="24"/>
              </w:rPr>
              <w:t>Risk</w:t>
            </w:r>
          </w:p>
        </w:tc>
        <w:tc>
          <w:tcPr>
            <w:tcW w:w="1304" w:type="dxa"/>
            <w:shd w:val="clear" w:color="auto" w:fill="D9D9D9"/>
          </w:tcPr>
          <w:p w:rsidR="00E943E7" w:rsidRPr="001757F5" w:rsidRDefault="00E943E7" w:rsidP="00751E90">
            <w:pPr>
              <w:pStyle w:val="List-number-1"/>
              <w:numPr>
                <w:ilvl w:val="0"/>
                <w:numId w:val="0"/>
              </w:numPr>
              <w:rPr>
                <w:rFonts w:ascii="Times New Roman" w:hAnsi="Times New Roman"/>
                <w:b/>
                <w:sz w:val="24"/>
              </w:rPr>
            </w:pPr>
            <w:r w:rsidRPr="001757F5">
              <w:rPr>
                <w:rFonts w:ascii="Times New Roman" w:hAnsi="Times New Roman"/>
                <w:b/>
                <w:sz w:val="24"/>
              </w:rPr>
              <w:t>Risk Level</w:t>
            </w:r>
          </w:p>
        </w:tc>
        <w:tc>
          <w:tcPr>
            <w:tcW w:w="6315" w:type="dxa"/>
            <w:shd w:val="clear" w:color="auto" w:fill="D9D9D9"/>
          </w:tcPr>
          <w:p w:rsidR="00E943E7" w:rsidRPr="001757F5" w:rsidRDefault="00E943E7" w:rsidP="00751E90">
            <w:pPr>
              <w:pStyle w:val="List-number-1"/>
              <w:numPr>
                <w:ilvl w:val="0"/>
                <w:numId w:val="0"/>
              </w:numPr>
              <w:rPr>
                <w:rFonts w:ascii="Times New Roman" w:hAnsi="Times New Roman"/>
                <w:b/>
                <w:sz w:val="24"/>
              </w:rPr>
            </w:pPr>
            <w:r w:rsidRPr="001757F5">
              <w:rPr>
                <w:rFonts w:ascii="Times New Roman" w:hAnsi="Times New Roman"/>
                <w:b/>
                <w:sz w:val="24"/>
              </w:rPr>
              <w:t>Mitigation</w:t>
            </w:r>
          </w:p>
        </w:tc>
      </w:tr>
      <w:tr w:rsidR="00E943E7" w:rsidRPr="001757F5" w:rsidTr="00751E90">
        <w:trPr>
          <w:cantSplit/>
          <w:jc w:val="center"/>
        </w:trPr>
        <w:tc>
          <w:tcPr>
            <w:tcW w:w="2179" w:type="dxa"/>
            <w:shd w:val="clear" w:color="auto" w:fill="auto"/>
          </w:tcPr>
          <w:p w:rsidR="00E943E7" w:rsidRPr="001757F5" w:rsidRDefault="00E943E7" w:rsidP="00751E90">
            <w:pPr>
              <w:pStyle w:val="List-number-1"/>
              <w:numPr>
                <w:ilvl w:val="0"/>
                <w:numId w:val="0"/>
              </w:numPr>
              <w:spacing w:before="120" w:after="120"/>
              <w:rPr>
                <w:rFonts w:ascii="Times New Roman" w:hAnsi="Times New Roman"/>
                <w:sz w:val="24"/>
              </w:rPr>
            </w:pPr>
            <w:r w:rsidRPr="001757F5">
              <w:rPr>
                <w:rFonts w:ascii="Times New Roman" w:hAnsi="Times New Roman"/>
                <w:sz w:val="24"/>
              </w:rPr>
              <w:t>The suite of activities do</w:t>
            </w:r>
            <w:r>
              <w:rPr>
                <w:rFonts w:ascii="Times New Roman" w:hAnsi="Times New Roman"/>
                <w:sz w:val="24"/>
              </w:rPr>
              <w:t>es</w:t>
            </w:r>
            <w:r w:rsidRPr="001757F5">
              <w:rPr>
                <w:rFonts w:ascii="Times New Roman" w:hAnsi="Times New Roman"/>
                <w:sz w:val="24"/>
              </w:rPr>
              <w:t xml:space="preserve"> not deliver the intended outcomes.</w:t>
            </w:r>
          </w:p>
        </w:tc>
        <w:tc>
          <w:tcPr>
            <w:tcW w:w="1304" w:type="dxa"/>
            <w:shd w:val="clear" w:color="auto" w:fill="auto"/>
          </w:tcPr>
          <w:p w:rsidR="00E943E7" w:rsidRPr="001757F5" w:rsidRDefault="00E943E7" w:rsidP="00751E90">
            <w:pPr>
              <w:pStyle w:val="List-number-1"/>
              <w:numPr>
                <w:ilvl w:val="0"/>
                <w:numId w:val="0"/>
              </w:numPr>
              <w:spacing w:before="120" w:after="120"/>
              <w:rPr>
                <w:rFonts w:ascii="Times New Roman" w:hAnsi="Times New Roman"/>
                <w:sz w:val="24"/>
              </w:rPr>
            </w:pPr>
            <w:r w:rsidRPr="001757F5">
              <w:rPr>
                <w:rFonts w:ascii="Times New Roman" w:hAnsi="Times New Roman"/>
                <w:sz w:val="24"/>
              </w:rPr>
              <w:t>Medium Risk</w:t>
            </w:r>
          </w:p>
        </w:tc>
        <w:tc>
          <w:tcPr>
            <w:tcW w:w="6315" w:type="dxa"/>
            <w:shd w:val="clear" w:color="auto" w:fill="auto"/>
          </w:tcPr>
          <w:p w:rsidR="008D5AD9" w:rsidRDefault="00E943E7" w:rsidP="00751E90">
            <w:pPr>
              <w:pStyle w:val="List-number-1"/>
              <w:numPr>
                <w:ilvl w:val="0"/>
                <w:numId w:val="0"/>
              </w:numPr>
              <w:spacing w:before="0" w:after="120"/>
              <w:rPr>
                <w:rFonts w:ascii="Times New Roman" w:hAnsi="Times New Roman"/>
                <w:sz w:val="24"/>
              </w:rPr>
            </w:pPr>
            <w:r w:rsidRPr="001757F5">
              <w:rPr>
                <w:rFonts w:ascii="Times New Roman" w:hAnsi="Times New Roman"/>
                <w:sz w:val="24"/>
              </w:rPr>
              <w:t xml:space="preserve">Design </w:t>
            </w:r>
            <w:r>
              <w:rPr>
                <w:rFonts w:ascii="Times New Roman" w:hAnsi="Times New Roman"/>
                <w:sz w:val="24"/>
              </w:rPr>
              <w:t xml:space="preserve">and implementation </w:t>
            </w:r>
            <w:r w:rsidRPr="001757F5">
              <w:rPr>
                <w:rFonts w:ascii="Times New Roman" w:hAnsi="Times New Roman"/>
                <w:sz w:val="24"/>
              </w:rPr>
              <w:t>processes will b</w:t>
            </w:r>
            <w:r>
              <w:rPr>
                <w:rFonts w:ascii="Times New Roman" w:hAnsi="Times New Roman"/>
                <w:sz w:val="24"/>
              </w:rPr>
              <w:t>e guided by Australia’s aid policy and the WASH thematic strategy.</w:t>
            </w:r>
          </w:p>
          <w:p w:rsidR="008D5AD9" w:rsidRPr="008D5AD9" w:rsidRDefault="008D5AD9" w:rsidP="00751E90">
            <w:pPr>
              <w:pStyle w:val="List-number-1"/>
              <w:numPr>
                <w:ilvl w:val="0"/>
                <w:numId w:val="0"/>
              </w:numPr>
              <w:spacing w:before="0" w:after="120"/>
              <w:rPr>
                <w:rFonts w:ascii="Times New Roman" w:hAnsi="Times New Roman"/>
                <w:sz w:val="24"/>
              </w:rPr>
            </w:pPr>
            <w:r w:rsidRPr="008D5AD9">
              <w:rPr>
                <w:rFonts w:ascii="Times New Roman" w:hAnsi="Times New Roman"/>
                <w:sz w:val="24"/>
              </w:rPr>
              <w:t>Development and implementation of an overarching results framework which will be used to measure performance.  Consideration as part of the design phases as to whether individual performance frameworks and/or approaches are needed for each of the activities.</w:t>
            </w:r>
          </w:p>
          <w:p w:rsidR="00E943E7" w:rsidRDefault="00E943E7" w:rsidP="00751E90">
            <w:pPr>
              <w:pStyle w:val="List-number-1"/>
              <w:numPr>
                <w:ilvl w:val="0"/>
                <w:numId w:val="0"/>
              </w:numPr>
              <w:spacing w:before="0" w:after="120"/>
              <w:rPr>
                <w:rFonts w:ascii="Times New Roman" w:hAnsi="Times New Roman"/>
                <w:sz w:val="24"/>
              </w:rPr>
            </w:pPr>
            <w:r w:rsidRPr="001757F5">
              <w:rPr>
                <w:rFonts w:ascii="Times New Roman" w:hAnsi="Times New Roman"/>
                <w:sz w:val="24"/>
              </w:rPr>
              <w:t>Multilateral program investments will be</w:t>
            </w:r>
            <w:r>
              <w:rPr>
                <w:rFonts w:ascii="Times New Roman" w:hAnsi="Times New Roman"/>
                <w:sz w:val="24"/>
              </w:rPr>
              <w:t xml:space="preserve"> guided by the outcomes of an Independent E</w:t>
            </w:r>
            <w:r w:rsidRPr="001757F5">
              <w:rPr>
                <w:rFonts w:ascii="Times New Roman" w:hAnsi="Times New Roman"/>
                <w:sz w:val="24"/>
              </w:rPr>
              <w:t>valuation. The chosen partnerships will be with effective agencies that have a track record for consistently delivering on outcomes.</w:t>
            </w:r>
          </w:p>
          <w:p w:rsidR="00E943E7" w:rsidRPr="001757F5" w:rsidRDefault="00E943E7" w:rsidP="00751E90">
            <w:pPr>
              <w:pStyle w:val="List-number-1"/>
              <w:numPr>
                <w:ilvl w:val="0"/>
                <w:numId w:val="0"/>
              </w:numPr>
              <w:spacing w:before="0" w:after="120"/>
              <w:rPr>
                <w:rFonts w:ascii="Times New Roman" w:hAnsi="Times New Roman"/>
                <w:sz w:val="24"/>
              </w:rPr>
            </w:pPr>
            <w:r>
              <w:rPr>
                <w:rFonts w:ascii="Times New Roman" w:hAnsi="Times New Roman"/>
                <w:sz w:val="24"/>
              </w:rPr>
              <w:t>T</w:t>
            </w:r>
            <w:r w:rsidR="008D5AD9">
              <w:rPr>
                <w:rFonts w:ascii="Times New Roman" w:hAnsi="Times New Roman"/>
                <w:sz w:val="24"/>
              </w:rPr>
              <w:t xml:space="preserve">he </w:t>
            </w:r>
            <w:r w:rsidRPr="001757F5">
              <w:rPr>
                <w:rFonts w:ascii="Times New Roman" w:hAnsi="Times New Roman"/>
                <w:sz w:val="24"/>
              </w:rPr>
              <w:t xml:space="preserve">design </w:t>
            </w:r>
            <w:r>
              <w:rPr>
                <w:rFonts w:ascii="Times New Roman" w:hAnsi="Times New Roman"/>
                <w:sz w:val="24"/>
              </w:rPr>
              <w:t xml:space="preserve">for the Civil Society Fund </w:t>
            </w:r>
            <w:r w:rsidRPr="001757F5">
              <w:rPr>
                <w:rFonts w:ascii="Times New Roman" w:hAnsi="Times New Roman"/>
                <w:sz w:val="24"/>
              </w:rPr>
              <w:t xml:space="preserve">will subject CSOs to a more </w:t>
            </w:r>
            <w:r>
              <w:rPr>
                <w:rFonts w:ascii="Times New Roman" w:hAnsi="Times New Roman"/>
                <w:sz w:val="24"/>
              </w:rPr>
              <w:t>rigorous quality assurance</w:t>
            </w:r>
            <w:r w:rsidRPr="001757F5">
              <w:rPr>
                <w:rFonts w:ascii="Times New Roman" w:hAnsi="Times New Roman"/>
                <w:sz w:val="24"/>
              </w:rPr>
              <w:t xml:space="preserve"> process as well as ongoing support through an effective monitoring and evaluation panel. </w:t>
            </w:r>
          </w:p>
        </w:tc>
      </w:tr>
      <w:tr w:rsidR="00E943E7" w:rsidRPr="001757F5" w:rsidTr="00751E90">
        <w:trPr>
          <w:cantSplit/>
          <w:jc w:val="center"/>
        </w:trPr>
        <w:tc>
          <w:tcPr>
            <w:tcW w:w="2179" w:type="dxa"/>
            <w:shd w:val="clear" w:color="auto" w:fill="auto"/>
          </w:tcPr>
          <w:p w:rsidR="00E943E7" w:rsidRPr="001757F5" w:rsidRDefault="00E943E7" w:rsidP="00751E90">
            <w:pPr>
              <w:pStyle w:val="List-number-1"/>
              <w:numPr>
                <w:ilvl w:val="0"/>
                <w:numId w:val="0"/>
              </w:numPr>
              <w:spacing w:before="120" w:after="120"/>
              <w:rPr>
                <w:rFonts w:ascii="Times New Roman" w:hAnsi="Times New Roman"/>
                <w:sz w:val="24"/>
              </w:rPr>
            </w:pPr>
            <w:r w:rsidRPr="001757F5">
              <w:rPr>
                <w:rFonts w:ascii="Times New Roman" w:hAnsi="Times New Roman"/>
                <w:sz w:val="24"/>
              </w:rPr>
              <w:t>The suite of activities do</w:t>
            </w:r>
            <w:r>
              <w:rPr>
                <w:rFonts w:ascii="Times New Roman" w:hAnsi="Times New Roman"/>
                <w:sz w:val="24"/>
              </w:rPr>
              <w:t>es</w:t>
            </w:r>
            <w:r w:rsidRPr="001757F5">
              <w:rPr>
                <w:rFonts w:ascii="Times New Roman" w:hAnsi="Times New Roman"/>
                <w:sz w:val="24"/>
              </w:rPr>
              <w:t xml:space="preserve"> not align with other WASH activities across AusAID.</w:t>
            </w:r>
          </w:p>
        </w:tc>
        <w:tc>
          <w:tcPr>
            <w:tcW w:w="1304" w:type="dxa"/>
            <w:shd w:val="clear" w:color="auto" w:fill="auto"/>
          </w:tcPr>
          <w:p w:rsidR="00E943E7" w:rsidRPr="001757F5" w:rsidRDefault="00E943E7" w:rsidP="00751E90">
            <w:pPr>
              <w:pStyle w:val="List-number-1"/>
              <w:numPr>
                <w:ilvl w:val="0"/>
                <w:numId w:val="0"/>
              </w:numPr>
              <w:spacing w:before="120" w:after="120"/>
              <w:rPr>
                <w:rFonts w:ascii="Times New Roman" w:hAnsi="Times New Roman"/>
                <w:sz w:val="24"/>
              </w:rPr>
            </w:pPr>
            <w:r w:rsidRPr="001757F5">
              <w:rPr>
                <w:rFonts w:ascii="Times New Roman" w:hAnsi="Times New Roman"/>
                <w:sz w:val="24"/>
              </w:rPr>
              <w:t>Medium Risk</w:t>
            </w:r>
          </w:p>
        </w:tc>
        <w:tc>
          <w:tcPr>
            <w:tcW w:w="6315" w:type="dxa"/>
            <w:shd w:val="clear" w:color="auto" w:fill="auto"/>
          </w:tcPr>
          <w:p w:rsidR="00E943E7" w:rsidRPr="001757F5" w:rsidRDefault="00E943E7" w:rsidP="00751E90">
            <w:pPr>
              <w:pStyle w:val="List-number-1"/>
              <w:numPr>
                <w:ilvl w:val="0"/>
                <w:numId w:val="0"/>
              </w:numPr>
              <w:spacing w:before="0" w:after="120"/>
              <w:rPr>
                <w:rFonts w:ascii="Times New Roman" w:hAnsi="Times New Roman"/>
                <w:sz w:val="24"/>
              </w:rPr>
            </w:pPr>
            <w:r>
              <w:rPr>
                <w:rFonts w:ascii="Times New Roman" w:hAnsi="Times New Roman"/>
                <w:sz w:val="24"/>
              </w:rPr>
              <w:t>SPD</w:t>
            </w:r>
            <w:r w:rsidRPr="001757F5">
              <w:rPr>
                <w:rFonts w:ascii="Times New Roman" w:hAnsi="Times New Roman"/>
                <w:sz w:val="24"/>
              </w:rPr>
              <w:t xml:space="preserve"> will ensu</w:t>
            </w:r>
            <w:r>
              <w:rPr>
                <w:rFonts w:ascii="Times New Roman" w:hAnsi="Times New Roman"/>
                <w:sz w:val="24"/>
              </w:rPr>
              <w:t>re teams representing cross-cutting issues and country and regional programs</w:t>
            </w:r>
            <w:r w:rsidRPr="001757F5">
              <w:rPr>
                <w:rFonts w:ascii="Times New Roman" w:hAnsi="Times New Roman"/>
                <w:sz w:val="24"/>
              </w:rPr>
              <w:t xml:space="preserve"> are given the opportunity to engage through consultation.</w:t>
            </w:r>
          </w:p>
          <w:p w:rsidR="00E943E7" w:rsidRPr="001757F5" w:rsidRDefault="00E943E7" w:rsidP="00751E90">
            <w:pPr>
              <w:pStyle w:val="List-number-1"/>
              <w:numPr>
                <w:ilvl w:val="0"/>
                <w:numId w:val="0"/>
              </w:numPr>
              <w:spacing w:before="0" w:after="120"/>
              <w:rPr>
                <w:rFonts w:ascii="Times New Roman" w:hAnsi="Times New Roman"/>
                <w:sz w:val="24"/>
              </w:rPr>
            </w:pPr>
            <w:r>
              <w:rPr>
                <w:rFonts w:ascii="Times New Roman" w:hAnsi="Times New Roman"/>
                <w:sz w:val="24"/>
              </w:rPr>
              <w:t xml:space="preserve">SPD </w:t>
            </w:r>
            <w:r w:rsidRPr="001757F5">
              <w:rPr>
                <w:rFonts w:ascii="Times New Roman" w:hAnsi="Times New Roman"/>
                <w:sz w:val="24"/>
              </w:rPr>
              <w:t>will proactively build relationships with</w:t>
            </w:r>
            <w:r>
              <w:rPr>
                <w:rFonts w:ascii="Times New Roman" w:hAnsi="Times New Roman"/>
                <w:sz w:val="24"/>
              </w:rPr>
              <w:t xml:space="preserve"> relevant areas </w:t>
            </w:r>
            <w:r w:rsidRPr="001757F5">
              <w:rPr>
                <w:rFonts w:ascii="Times New Roman" w:hAnsi="Times New Roman"/>
                <w:sz w:val="24"/>
              </w:rPr>
              <w:t xml:space="preserve">to ensure parties remain informed of </w:t>
            </w:r>
            <w:r>
              <w:rPr>
                <w:rFonts w:ascii="Times New Roman" w:hAnsi="Times New Roman"/>
                <w:sz w:val="24"/>
              </w:rPr>
              <w:t xml:space="preserve">progress </w:t>
            </w:r>
            <w:r w:rsidRPr="001757F5">
              <w:rPr>
                <w:rFonts w:ascii="Times New Roman" w:hAnsi="Times New Roman"/>
                <w:sz w:val="24"/>
              </w:rPr>
              <w:t>and opportunities for complementarity are identified early.</w:t>
            </w:r>
          </w:p>
        </w:tc>
      </w:tr>
      <w:tr w:rsidR="00E943E7" w:rsidRPr="001757F5" w:rsidTr="00751E90">
        <w:trPr>
          <w:cantSplit/>
          <w:jc w:val="center"/>
        </w:trPr>
        <w:tc>
          <w:tcPr>
            <w:tcW w:w="2179" w:type="dxa"/>
            <w:shd w:val="clear" w:color="auto" w:fill="auto"/>
          </w:tcPr>
          <w:p w:rsidR="00E943E7" w:rsidRPr="001757F5" w:rsidRDefault="00E943E7" w:rsidP="00751E90">
            <w:pPr>
              <w:pStyle w:val="List-number-1"/>
              <w:numPr>
                <w:ilvl w:val="0"/>
                <w:numId w:val="0"/>
              </w:numPr>
              <w:spacing w:before="120" w:after="120"/>
              <w:rPr>
                <w:rFonts w:ascii="Times New Roman" w:hAnsi="Times New Roman"/>
                <w:sz w:val="24"/>
              </w:rPr>
            </w:pPr>
            <w:r>
              <w:rPr>
                <w:rFonts w:ascii="Times New Roman" w:hAnsi="Times New Roman"/>
                <w:sz w:val="24"/>
              </w:rPr>
              <w:t>The 2011–</w:t>
            </w:r>
            <w:r w:rsidRPr="001757F5">
              <w:rPr>
                <w:rFonts w:ascii="Times New Roman" w:hAnsi="Times New Roman"/>
                <w:sz w:val="24"/>
              </w:rPr>
              <w:t>12</w:t>
            </w:r>
            <w:r>
              <w:rPr>
                <w:rFonts w:ascii="Times New Roman" w:hAnsi="Times New Roman"/>
                <w:sz w:val="24"/>
              </w:rPr>
              <w:t xml:space="preserve"> budget allocation cannot be expended</w:t>
            </w:r>
          </w:p>
        </w:tc>
        <w:tc>
          <w:tcPr>
            <w:tcW w:w="1304" w:type="dxa"/>
            <w:shd w:val="clear" w:color="auto" w:fill="auto"/>
          </w:tcPr>
          <w:p w:rsidR="00E943E7" w:rsidRPr="001757F5" w:rsidRDefault="00E943E7" w:rsidP="00751E90">
            <w:pPr>
              <w:pStyle w:val="List-number-1"/>
              <w:numPr>
                <w:ilvl w:val="0"/>
                <w:numId w:val="0"/>
              </w:numPr>
              <w:spacing w:before="120" w:after="120"/>
              <w:rPr>
                <w:rFonts w:ascii="Times New Roman" w:hAnsi="Times New Roman"/>
                <w:sz w:val="24"/>
              </w:rPr>
            </w:pPr>
            <w:r w:rsidRPr="001757F5">
              <w:rPr>
                <w:rFonts w:ascii="Times New Roman" w:hAnsi="Times New Roman"/>
                <w:sz w:val="24"/>
              </w:rPr>
              <w:t>Medium Risk</w:t>
            </w:r>
          </w:p>
        </w:tc>
        <w:tc>
          <w:tcPr>
            <w:tcW w:w="6315" w:type="dxa"/>
            <w:shd w:val="clear" w:color="auto" w:fill="auto"/>
          </w:tcPr>
          <w:p w:rsidR="00E943E7" w:rsidRPr="001757F5" w:rsidRDefault="00E943E7" w:rsidP="00751E90">
            <w:pPr>
              <w:pStyle w:val="List-number-1"/>
              <w:numPr>
                <w:ilvl w:val="0"/>
                <w:numId w:val="0"/>
              </w:numPr>
              <w:spacing w:before="0" w:after="120"/>
              <w:rPr>
                <w:rFonts w:ascii="Times New Roman" w:hAnsi="Times New Roman"/>
                <w:sz w:val="24"/>
              </w:rPr>
            </w:pPr>
            <w:r>
              <w:rPr>
                <w:rFonts w:ascii="Times New Roman" w:hAnsi="Times New Roman"/>
                <w:sz w:val="24"/>
              </w:rPr>
              <w:t>Project plan</w:t>
            </w:r>
            <w:r w:rsidR="002E49D0">
              <w:rPr>
                <w:rFonts w:ascii="Times New Roman" w:hAnsi="Times New Roman"/>
                <w:sz w:val="24"/>
              </w:rPr>
              <w:t xml:space="preserve"> is</w:t>
            </w:r>
            <w:r>
              <w:rPr>
                <w:rFonts w:ascii="Times New Roman" w:hAnsi="Times New Roman"/>
                <w:sz w:val="24"/>
              </w:rPr>
              <w:t xml:space="preserve"> in place for a</w:t>
            </w:r>
            <w:r w:rsidRPr="001757F5">
              <w:rPr>
                <w:rFonts w:ascii="Times New Roman" w:hAnsi="Times New Roman"/>
                <w:sz w:val="24"/>
              </w:rPr>
              <w:t>ctivities A</w:t>
            </w:r>
            <w:r>
              <w:rPr>
                <w:rFonts w:ascii="Times New Roman" w:hAnsi="Times New Roman"/>
                <w:sz w:val="24"/>
              </w:rPr>
              <w:t>. Th</w:t>
            </w:r>
            <w:r w:rsidR="002E49D0">
              <w:rPr>
                <w:rFonts w:ascii="Times New Roman" w:hAnsi="Times New Roman"/>
                <w:sz w:val="24"/>
              </w:rPr>
              <w:t>is</w:t>
            </w:r>
            <w:r>
              <w:rPr>
                <w:rFonts w:ascii="Times New Roman" w:hAnsi="Times New Roman"/>
                <w:sz w:val="24"/>
              </w:rPr>
              <w:t xml:space="preserve"> plan will assist </w:t>
            </w:r>
            <w:r w:rsidRPr="001757F5">
              <w:rPr>
                <w:rFonts w:ascii="Times New Roman" w:hAnsi="Times New Roman"/>
                <w:sz w:val="24"/>
              </w:rPr>
              <w:t>to monitor progress against deadlines and identify downstream impacts.</w:t>
            </w:r>
          </w:p>
          <w:p w:rsidR="00E943E7" w:rsidRPr="001757F5" w:rsidRDefault="00E943E7" w:rsidP="00751E90">
            <w:pPr>
              <w:pStyle w:val="List-number-1"/>
              <w:numPr>
                <w:ilvl w:val="0"/>
                <w:numId w:val="0"/>
              </w:numPr>
              <w:spacing w:before="0" w:after="120"/>
              <w:rPr>
                <w:rFonts w:ascii="Times New Roman" w:hAnsi="Times New Roman"/>
                <w:sz w:val="24"/>
              </w:rPr>
            </w:pPr>
            <w:r w:rsidRPr="001757F5">
              <w:rPr>
                <w:rFonts w:ascii="Times New Roman" w:hAnsi="Times New Roman"/>
                <w:sz w:val="24"/>
              </w:rPr>
              <w:t>Consultants will be engaged to assist with</w:t>
            </w:r>
            <w:r>
              <w:rPr>
                <w:rFonts w:ascii="Times New Roman" w:hAnsi="Times New Roman"/>
                <w:sz w:val="24"/>
              </w:rPr>
              <w:t xml:space="preserve"> the design and other</w:t>
            </w:r>
            <w:r w:rsidRPr="001757F5">
              <w:rPr>
                <w:rFonts w:ascii="Times New Roman" w:hAnsi="Times New Roman"/>
                <w:sz w:val="24"/>
              </w:rPr>
              <w:t xml:space="preserve"> processes for activit</w:t>
            </w:r>
            <w:r w:rsidR="002E49D0">
              <w:rPr>
                <w:rFonts w:ascii="Times New Roman" w:hAnsi="Times New Roman"/>
                <w:sz w:val="24"/>
              </w:rPr>
              <w:t>y</w:t>
            </w:r>
            <w:r w:rsidRPr="001757F5">
              <w:rPr>
                <w:rFonts w:ascii="Times New Roman" w:hAnsi="Times New Roman"/>
                <w:sz w:val="24"/>
              </w:rPr>
              <w:t xml:space="preserve"> A. This will help ensure timely achievement of deliverables with no impact on quality.</w:t>
            </w:r>
          </w:p>
          <w:p w:rsidR="00E943E7" w:rsidRPr="001757F5" w:rsidRDefault="00E943E7" w:rsidP="00751E90">
            <w:pPr>
              <w:pStyle w:val="List-number-1"/>
              <w:numPr>
                <w:ilvl w:val="0"/>
                <w:numId w:val="0"/>
              </w:numPr>
              <w:spacing w:before="0" w:after="120"/>
              <w:rPr>
                <w:rFonts w:ascii="Times New Roman" w:hAnsi="Times New Roman"/>
                <w:sz w:val="24"/>
              </w:rPr>
            </w:pPr>
          </w:p>
        </w:tc>
      </w:tr>
    </w:tbl>
    <w:p w:rsidR="00E943E7" w:rsidRDefault="00E943E7" w:rsidP="00E943E7"/>
    <w:p w:rsidR="00E943E7" w:rsidRDefault="00E943E7" w:rsidP="00E943E7"/>
    <w:p w:rsidR="00E943E7" w:rsidRDefault="00E943E7" w:rsidP="00E943E7"/>
    <w:p w:rsidR="00CA4F0E" w:rsidRDefault="00CA4F0E" w:rsidP="00446450">
      <w:pPr>
        <w:jc w:val="center"/>
        <w:sectPr w:rsidR="00CA4F0E" w:rsidSect="00E943E7">
          <w:pgSz w:w="11906" w:h="16838"/>
          <w:pgMar w:top="1440" w:right="1800" w:bottom="1440" w:left="1800" w:header="708" w:footer="708" w:gutter="0"/>
          <w:cols w:space="708"/>
          <w:docGrid w:linePitch="360"/>
        </w:sectPr>
      </w:pPr>
    </w:p>
    <w:p w:rsidR="00BB5B3F" w:rsidRDefault="00BB5B3F" w:rsidP="00446450">
      <w:pPr>
        <w:jc w:val="center"/>
      </w:pPr>
    </w:p>
    <w:p w:rsidR="00BB5B3F" w:rsidRPr="00CA4F0E" w:rsidRDefault="00CA4F0E" w:rsidP="001F7C03">
      <w:pPr>
        <w:rPr>
          <w:b/>
        </w:rPr>
      </w:pPr>
      <w:r>
        <w:rPr>
          <w:b/>
        </w:rPr>
        <w:t>Endnotes</w:t>
      </w:r>
    </w:p>
    <w:sectPr w:rsidR="00BB5B3F" w:rsidRPr="00CA4F0E" w:rsidSect="00CA4F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E8" w:rsidRDefault="000032E8" w:rsidP="001F7C03">
      <w:r>
        <w:separator/>
      </w:r>
    </w:p>
  </w:endnote>
  <w:endnote w:type="continuationSeparator" w:id="0">
    <w:p w:rsidR="000032E8" w:rsidRDefault="000032E8" w:rsidP="001F7C03">
      <w:r>
        <w:continuationSeparator/>
      </w:r>
    </w:p>
  </w:endnote>
  <w:endnote w:id="1">
    <w:p w:rsidR="000032E8" w:rsidRDefault="000032E8" w:rsidP="00B243E1">
      <w:pPr>
        <w:pStyle w:val="EndnoteText"/>
        <w:spacing w:after="240"/>
      </w:pPr>
      <w:r>
        <w:rPr>
          <w:rStyle w:val="EndnoteReference"/>
        </w:rPr>
        <w:endnoteRef/>
      </w:r>
      <w:r>
        <w:t xml:space="preserve"> Millennium Development Goal target 7 C is listed under Goal 7: Ensure Environmental Sustainability.</w:t>
      </w:r>
    </w:p>
  </w:endnote>
  <w:endnote w:id="2">
    <w:p w:rsidR="000032E8" w:rsidRDefault="000032E8">
      <w:pPr>
        <w:pStyle w:val="EndnoteText"/>
      </w:pPr>
      <w:r>
        <w:rPr>
          <w:rStyle w:val="EndnoteReference"/>
        </w:rPr>
        <w:endnoteRef/>
      </w:r>
      <w:r>
        <w:t xml:space="preserve"> These gains are associated with achieving MDG target 7C. The WHO estimates that around US$11.3 billion will need to be invested per year over and above current investments to achieve these gains.</w:t>
      </w:r>
    </w:p>
    <w:p w:rsidR="000032E8" w:rsidRDefault="000032E8">
      <w:pPr>
        <w:pStyle w:val="EndnoteText"/>
      </w:pPr>
      <w:r>
        <w:t xml:space="preserve">World Health Organization, </w:t>
      </w:r>
      <w:r w:rsidRPr="00AD7328">
        <w:rPr>
          <w:i/>
        </w:rPr>
        <w:t xml:space="preserve">Evaluation of the </w:t>
      </w:r>
      <w:r>
        <w:rPr>
          <w:i/>
        </w:rPr>
        <w:t>C</w:t>
      </w:r>
      <w:r w:rsidRPr="00AD7328">
        <w:rPr>
          <w:i/>
        </w:rPr>
        <w:t xml:space="preserve">osts and </w:t>
      </w:r>
      <w:r>
        <w:rPr>
          <w:i/>
        </w:rPr>
        <w:t>B</w:t>
      </w:r>
      <w:r w:rsidRPr="00AD7328">
        <w:rPr>
          <w:i/>
        </w:rPr>
        <w:t xml:space="preserve">enefits of </w:t>
      </w:r>
      <w:r>
        <w:rPr>
          <w:i/>
        </w:rPr>
        <w:t>W</w:t>
      </w:r>
      <w:r w:rsidRPr="00AD7328">
        <w:rPr>
          <w:i/>
        </w:rPr>
        <w:t xml:space="preserve">ater and </w:t>
      </w:r>
      <w:r>
        <w:rPr>
          <w:i/>
        </w:rPr>
        <w:t>S</w:t>
      </w:r>
      <w:r w:rsidRPr="00AD7328">
        <w:rPr>
          <w:i/>
        </w:rPr>
        <w:t xml:space="preserve">anitation </w:t>
      </w:r>
      <w:r>
        <w:rPr>
          <w:i/>
        </w:rPr>
        <w:t>I</w:t>
      </w:r>
      <w:r w:rsidRPr="00AD7328">
        <w:rPr>
          <w:i/>
        </w:rPr>
        <w:t xml:space="preserve">mprovements at the </w:t>
      </w:r>
      <w:r>
        <w:rPr>
          <w:i/>
        </w:rPr>
        <w:t>G</w:t>
      </w:r>
      <w:r w:rsidRPr="00AD7328">
        <w:rPr>
          <w:i/>
        </w:rPr>
        <w:t xml:space="preserve">lobal </w:t>
      </w:r>
      <w:r>
        <w:rPr>
          <w:i/>
        </w:rPr>
        <w:t>L</w:t>
      </w:r>
      <w:r w:rsidRPr="00AD7328">
        <w:rPr>
          <w:i/>
        </w:rPr>
        <w:t>evel</w:t>
      </w:r>
      <w:r>
        <w:t>, 2004, Executive Summary..</w:t>
      </w:r>
    </w:p>
  </w:endnote>
  <w:endnote w:id="3">
    <w:p w:rsidR="000032E8" w:rsidRDefault="000032E8" w:rsidP="00AD7328">
      <w:pPr>
        <w:pStyle w:val="EndnoteText"/>
        <w:spacing w:before="240"/>
      </w:pPr>
      <w:r>
        <w:rPr>
          <w:rStyle w:val="EndnoteReference"/>
        </w:rPr>
        <w:endnoteRef/>
      </w:r>
      <w:r>
        <w:t xml:space="preserve"> Water and Sanitation Program, World Bank </w:t>
      </w:r>
      <w:r>
        <w:rPr>
          <w:i/>
          <w:iCs/>
        </w:rPr>
        <w:t>Economic Impacts of Sanitation in Indonesia</w:t>
      </w:r>
      <w:r>
        <w:t>,</w:t>
      </w:r>
      <w:r>
        <w:rPr>
          <w:i/>
          <w:iCs/>
        </w:rPr>
        <w:t xml:space="preserve"> </w:t>
      </w:r>
      <w:r>
        <w:t>p. 22.</w:t>
      </w:r>
    </w:p>
  </w:endnote>
  <w:endnote w:id="4">
    <w:p w:rsidR="000032E8" w:rsidRDefault="000032E8" w:rsidP="00827F56">
      <w:pPr>
        <w:pStyle w:val="EndnoteText"/>
        <w:spacing w:before="240"/>
      </w:pPr>
      <w:r>
        <w:rPr>
          <w:rStyle w:val="EndnoteReference"/>
        </w:rPr>
        <w:endnoteRef/>
      </w:r>
      <w:r>
        <w:t xml:space="preserve"> World Health Organization, </w:t>
      </w:r>
      <w:r w:rsidRPr="00AD7328">
        <w:rPr>
          <w:i/>
        </w:rPr>
        <w:t xml:space="preserve">Evaluation of the </w:t>
      </w:r>
      <w:r>
        <w:rPr>
          <w:i/>
        </w:rPr>
        <w:t>C</w:t>
      </w:r>
      <w:r w:rsidRPr="00AD7328">
        <w:rPr>
          <w:i/>
        </w:rPr>
        <w:t xml:space="preserve">osts and </w:t>
      </w:r>
      <w:r>
        <w:rPr>
          <w:i/>
        </w:rPr>
        <w:t>B</w:t>
      </w:r>
      <w:r w:rsidRPr="00AD7328">
        <w:rPr>
          <w:i/>
        </w:rPr>
        <w:t xml:space="preserve">enefits of </w:t>
      </w:r>
      <w:r>
        <w:rPr>
          <w:i/>
        </w:rPr>
        <w:t>W</w:t>
      </w:r>
      <w:r w:rsidRPr="00AD7328">
        <w:rPr>
          <w:i/>
        </w:rPr>
        <w:t xml:space="preserve">ater and </w:t>
      </w:r>
      <w:r>
        <w:rPr>
          <w:i/>
        </w:rPr>
        <w:t>S</w:t>
      </w:r>
      <w:r w:rsidRPr="00AD7328">
        <w:rPr>
          <w:i/>
        </w:rPr>
        <w:t xml:space="preserve">anitation </w:t>
      </w:r>
      <w:r>
        <w:rPr>
          <w:i/>
        </w:rPr>
        <w:t>I</w:t>
      </w:r>
      <w:r w:rsidRPr="00AD7328">
        <w:rPr>
          <w:i/>
        </w:rPr>
        <w:t xml:space="preserve">mprovements at the </w:t>
      </w:r>
      <w:r>
        <w:rPr>
          <w:i/>
        </w:rPr>
        <w:t>G</w:t>
      </w:r>
      <w:r w:rsidRPr="00AD7328">
        <w:rPr>
          <w:i/>
        </w:rPr>
        <w:t xml:space="preserve">lobal </w:t>
      </w:r>
      <w:r>
        <w:rPr>
          <w:i/>
        </w:rPr>
        <w:t>L</w:t>
      </w:r>
      <w:r w:rsidRPr="00AD7328">
        <w:rPr>
          <w:i/>
        </w:rPr>
        <w:t>evel</w:t>
      </w:r>
      <w:r>
        <w:t>, 2004, Executive Summary.</w:t>
      </w:r>
    </w:p>
  </w:endnote>
  <w:endnote w:id="5">
    <w:p w:rsidR="000032E8" w:rsidRPr="00590728" w:rsidRDefault="000032E8" w:rsidP="00827F56">
      <w:pPr>
        <w:pStyle w:val="EndnoteText"/>
        <w:spacing w:before="240"/>
        <w:ind w:right="-341"/>
      </w:pPr>
      <w:r w:rsidRPr="00590728">
        <w:rPr>
          <w:rStyle w:val="EndnoteReference"/>
        </w:rPr>
        <w:endnoteRef/>
      </w:r>
      <w:r w:rsidRPr="00590728">
        <w:t xml:space="preserve"> UNICEF and WHO, Joint Monitoring Programme, Progress on Sanitation and Drinking Water 2010, p. 6.</w:t>
      </w:r>
    </w:p>
  </w:endnote>
  <w:endnote w:id="6">
    <w:p w:rsidR="000032E8" w:rsidRPr="00590728" w:rsidRDefault="000032E8" w:rsidP="00827F56">
      <w:pPr>
        <w:pStyle w:val="EndnoteText"/>
        <w:spacing w:before="240"/>
        <w:ind w:right="-341"/>
      </w:pPr>
      <w:r w:rsidRPr="00590728">
        <w:rPr>
          <w:rStyle w:val="EndnoteReference"/>
        </w:rPr>
        <w:endnoteRef/>
      </w:r>
      <w:r w:rsidRPr="00590728">
        <w:t xml:space="preserve"> </w:t>
      </w:r>
      <w:r>
        <w:t>Ibid</w:t>
      </w:r>
      <w:r w:rsidRPr="00590728">
        <w:t>, p. 8.</w:t>
      </w:r>
    </w:p>
  </w:endnote>
  <w:endnote w:id="7">
    <w:p w:rsidR="000032E8" w:rsidRPr="00590728" w:rsidRDefault="000032E8" w:rsidP="00B73B8D">
      <w:pPr>
        <w:pStyle w:val="EndnoteText"/>
        <w:spacing w:before="240" w:after="240"/>
      </w:pPr>
      <w:r w:rsidRPr="00590728">
        <w:rPr>
          <w:rStyle w:val="EndnoteReference"/>
        </w:rPr>
        <w:endnoteRef/>
      </w:r>
      <w:r w:rsidRPr="00590728">
        <w:t xml:space="preserve"> UNICEF presentation by Clarissa Brocklehurst at WASH Conference 2011, Brisbane, Australia, </w:t>
      </w:r>
      <w:hyperlink r:id="rId1" w:history="1">
        <w:r w:rsidRPr="00590728">
          <w:t>http://www.watercentre.org/wash2011/wash-2011-keynotes</w:t>
        </w:r>
      </w:hyperlink>
      <w:r w:rsidRPr="00590728">
        <w:t xml:space="preserve"> (accessed on 30 June 2011).</w:t>
      </w:r>
    </w:p>
  </w:endnote>
  <w:endnote w:id="8">
    <w:p w:rsidR="000032E8" w:rsidRPr="00F75249" w:rsidRDefault="000032E8" w:rsidP="009348D3">
      <w:pPr>
        <w:pStyle w:val="EndnoteText"/>
        <w:spacing w:afterLines="60" w:after="144"/>
      </w:pPr>
      <w:r w:rsidRPr="00F75249">
        <w:rPr>
          <w:rStyle w:val="EndnoteReference"/>
          <w:sz w:val="22"/>
          <w:szCs w:val="22"/>
        </w:rPr>
        <w:endnoteRef/>
      </w:r>
      <w:r w:rsidRPr="00F75249">
        <w:t xml:space="preserve"> Ibid</w:t>
      </w:r>
    </w:p>
  </w:endnote>
  <w:endnote w:id="9">
    <w:p w:rsidR="000032E8" w:rsidRPr="00F75249" w:rsidRDefault="000032E8" w:rsidP="009348D3">
      <w:pPr>
        <w:pStyle w:val="EndnoteText"/>
        <w:spacing w:afterLines="60" w:after="144"/>
      </w:pPr>
      <w:r w:rsidRPr="00F75249">
        <w:rPr>
          <w:rStyle w:val="EndnoteReference"/>
          <w:sz w:val="22"/>
          <w:szCs w:val="22"/>
        </w:rPr>
        <w:endnoteRef/>
      </w:r>
      <w:r w:rsidRPr="00F75249">
        <w:t xml:space="preserve"> Schouten, T, Moriarty, P. &amp; Postma, L., 2003: Scaling up Community Management, presented at the 29</w:t>
      </w:r>
      <w:r w:rsidRPr="00F75249">
        <w:rPr>
          <w:vertAlign w:val="superscript"/>
        </w:rPr>
        <w:t>th</w:t>
      </w:r>
      <w:r w:rsidRPr="00F75249">
        <w:t xml:space="preserve"> WEDC International Conference.</w:t>
      </w:r>
    </w:p>
  </w:endnote>
  <w:endnote w:id="10">
    <w:p w:rsidR="000032E8" w:rsidRDefault="000032E8" w:rsidP="00B243E1">
      <w:pPr>
        <w:pStyle w:val="EndnoteText"/>
        <w:spacing w:after="120"/>
      </w:pPr>
      <w:r>
        <w:rPr>
          <w:rStyle w:val="EndnoteReference"/>
        </w:rPr>
        <w:endnoteRef/>
      </w:r>
      <w:r>
        <w:t xml:space="preserve"> </w:t>
      </w:r>
      <w:r w:rsidRPr="00F75249">
        <w:rPr>
          <w:lang w:val="en-US"/>
        </w:rPr>
        <w:t xml:space="preserve">Fewtrell, L, Kaufmann, R, Kay, D, Enanoria, W, Haller, L &amp; Colford Jr, J. Water, sanitation and hygiene interventions to reduce diarrhea in less developed countries: a systematic review and meta-analysis. </w:t>
      </w:r>
      <w:hyperlink r:id="rId2" w:history="1">
        <w:r w:rsidRPr="00F75249">
          <w:rPr>
            <w:rStyle w:val="Hyperlink"/>
            <w:lang w:val="en-US"/>
          </w:rPr>
          <w:t>www.thelancet.com</w:t>
        </w:r>
      </w:hyperlink>
      <w:r w:rsidRPr="00F75249">
        <w:rPr>
          <w:lang w:val="en-US"/>
        </w:rPr>
        <w:t xml:space="preserve"> Vol 5, January 2005.</w:t>
      </w:r>
    </w:p>
  </w:endnote>
  <w:endnote w:id="11">
    <w:p w:rsidR="000032E8" w:rsidRDefault="000032E8" w:rsidP="00EE3155">
      <w:pPr>
        <w:pStyle w:val="EndnoteText"/>
      </w:pPr>
      <w:r>
        <w:rPr>
          <w:rStyle w:val="EndnoteReference"/>
        </w:rPr>
        <w:endnoteRef/>
      </w:r>
      <w:r>
        <w:t xml:space="preserve"> </w:t>
      </w:r>
      <w:r w:rsidRPr="002A1BE6">
        <w:t xml:space="preserve">International WaterCentre and the Institute for Sustainable Futures, </w:t>
      </w:r>
      <w:r w:rsidRPr="00652D34">
        <w:rPr>
          <w:i/>
        </w:rPr>
        <w:t>NGO Partnerships and Capacity Building in the Water, Sanitation and Hygiene Sector</w:t>
      </w:r>
      <w:r w:rsidRPr="002A1BE6">
        <w:t xml:space="preserve"> (2008), Part 1, p. iv.</w:t>
      </w:r>
    </w:p>
  </w:endnote>
  <w:endnote w:id="12">
    <w:p w:rsidR="000032E8" w:rsidRDefault="000032E8" w:rsidP="00590728">
      <w:pPr>
        <w:pStyle w:val="EndnoteText"/>
        <w:spacing w:before="240"/>
      </w:pPr>
      <w:r w:rsidRPr="00590728">
        <w:rPr>
          <w:rStyle w:val="EndnoteReference"/>
        </w:rPr>
        <w:endnoteRef/>
      </w:r>
      <w:r w:rsidRPr="00590728">
        <w:t xml:space="preserve"> </w:t>
      </w:r>
      <w:r w:rsidRPr="00590728">
        <w:rPr>
          <w:i/>
        </w:rPr>
        <w:t xml:space="preserve">For </w:t>
      </w:r>
      <w:r>
        <w:rPr>
          <w:i/>
        </w:rPr>
        <w:t>Her, It’s a Big Issue: Putting Women at the Centre of Water Supply, Sanitation and H</w:t>
      </w:r>
      <w:r w:rsidRPr="00590728">
        <w:rPr>
          <w:i/>
        </w:rPr>
        <w:t>ygiene</w:t>
      </w:r>
      <w:r w:rsidRPr="00590728">
        <w:t>. Evidence Report produced by the Water Supply and Sanitation Collaborative Council (WSSCC) and WEDC, 2006.</w:t>
      </w:r>
    </w:p>
  </w:endnote>
  <w:endnote w:id="13">
    <w:p w:rsidR="000032E8" w:rsidRPr="00D411D2" w:rsidRDefault="000032E8" w:rsidP="00A950C2">
      <w:pPr>
        <w:pStyle w:val="EndnoteText"/>
        <w:spacing w:before="240"/>
      </w:pPr>
      <w:r>
        <w:rPr>
          <w:rStyle w:val="EndnoteReference"/>
        </w:rPr>
        <w:endnoteRef/>
      </w:r>
      <w:r>
        <w:t xml:space="preserve"> AusAID, </w:t>
      </w:r>
      <w:r w:rsidRPr="00D411D2">
        <w:rPr>
          <w:i/>
        </w:rPr>
        <w:t>Climate Resilient Infrastructure: Draft Guidance for Activity Managers</w:t>
      </w:r>
      <w:r>
        <w:t>, 2010, p. 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946060"/>
      <w:docPartObj>
        <w:docPartGallery w:val="Page Numbers (Bottom of Page)"/>
        <w:docPartUnique/>
      </w:docPartObj>
    </w:sdtPr>
    <w:sdtEndPr>
      <w:rPr>
        <w:noProof/>
      </w:rPr>
    </w:sdtEndPr>
    <w:sdtContent>
      <w:p w:rsidR="000032E8" w:rsidRDefault="000032E8">
        <w:pPr>
          <w:pStyle w:val="Footer"/>
          <w:jc w:val="right"/>
        </w:pPr>
        <w:r>
          <w:fldChar w:fldCharType="begin"/>
        </w:r>
        <w:r>
          <w:instrText xml:space="preserve"> PAGE   \* MERGEFORMAT </w:instrText>
        </w:r>
        <w:r>
          <w:fldChar w:fldCharType="separate"/>
        </w:r>
        <w:r w:rsidR="00B75642">
          <w:rPr>
            <w:noProof/>
          </w:rPr>
          <w:t>2</w:t>
        </w:r>
        <w:r>
          <w:rPr>
            <w:noProof/>
          </w:rPr>
          <w:fldChar w:fldCharType="end"/>
        </w:r>
      </w:p>
    </w:sdtContent>
  </w:sdt>
  <w:p w:rsidR="000032E8" w:rsidRDefault="00003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E8" w:rsidRDefault="000032E8" w:rsidP="001F7C03">
      <w:r>
        <w:separator/>
      </w:r>
    </w:p>
  </w:footnote>
  <w:footnote w:type="continuationSeparator" w:id="0">
    <w:p w:rsidR="000032E8" w:rsidRDefault="000032E8" w:rsidP="001F7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E8" w:rsidRDefault="000032E8" w:rsidP="00CB511F">
    <w:pPr>
      <w:pStyle w:val="Header"/>
      <w:jc w:val="right"/>
    </w:pPr>
    <w:r>
      <w:t>24 January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1144"/>
    <w:multiLevelType w:val="hybridMultilevel"/>
    <w:tmpl w:val="1A92B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C9791D"/>
    <w:multiLevelType w:val="hybridMultilevel"/>
    <w:tmpl w:val="5F22F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7B2A8E"/>
    <w:multiLevelType w:val="hybridMultilevel"/>
    <w:tmpl w:val="86C2660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nsid w:val="16421C8E"/>
    <w:multiLevelType w:val="multilevel"/>
    <w:tmpl w:val="BF688BAA"/>
    <w:lvl w:ilvl="0">
      <w:start w:val="1"/>
      <w:numFmt w:val="decimal"/>
      <w:lvlText w:val="%1."/>
      <w:lvlJc w:val="left"/>
      <w:pPr>
        <w:tabs>
          <w:tab w:val="num" w:pos="720"/>
        </w:tabs>
        <w:ind w:left="720" w:hanging="360"/>
      </w:pPr>
    </w:lvl>
    <w:lvl w:ilvl="1">
      <w:start w:val="1"/>
      <w:numFmt w:val="decimal"/>
      <w:isLgl/>
      <w:lvlText w:val="%1.%2"/>
      <w:lvlJc w:val="left"/>
      <w:pPr>
        <w:tabs>
          <w:tab w:val="num" w:pos="852"/>
        </w:tabs>
        <w:ind w:left="852" w:hanging="49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773387"/>
    <w:multiLevelType w:val="hybridMultilevel"/>
    <w:tmpl w:val="0178A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6D227B"/>
    <w:multiLevelType w:val="hybridMultilevel"/>
    <w:tmpl w:val="DCD2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DF15AF"/>
    <w:multiLevelType w:val="hybridMultilevel"/>
    <w:tmpl w:val="BF3C01C0"/>
    <w:lvl w:ilvl="0" w:tplc="0C090017">
      <w:start w:val="1"/>
      <w:numFmt w:val="lowerLetter"/>
      <w:lvlText w:val="%1)"/>
      <w:lvlJc w:val="left"/>
      <w:pPr>
        <w:tabs>
          <w:tab w:val="num" w:pos="1077"/>
        </w:tabs>
        <w:ind w:left="1077" w:hanging="360"/>
      </w:pPr>
    </w:lvl>
    <w:lvl w:ilvl="1" w:tplc="0C090019" w:tentative="1">
      <w:start w:val="1"/>
      <w:numFmt w:val="lowerLetter"/>
      <w:lvlText w:val="%2."/>
      <w:lvlJc w:val="left"/>
      <w:pPr>
        <w:tabs>
          <w:tab w:val="num" w:pos="1797"/>
        </w:tabs>
        <w:ind w:left="1797" w:hanging="360"/>
      </w:p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7">
    <w:nsid w:val="2E4B2A67"/>
    <w:multiLevelType w:val="hybridMultilevel"/>
    <w:tmpl w:val="DF323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7C131E"/>
    <w:multiLevelType w:val="hybridMultilevel"/>
    <w:tmpl w:val="50C06B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BD11B4"/>
    <w:multiLevelType w:val="multilevel"/>
    <w:tmpl w:val="CD5CC6B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1280B27"/>
    <w:multiLevelType w:val="hybridMultilevel"/>
    <w:tmpl w:val="18EC6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2042EA"/>
    <w:multiLevelType w:val="hybridMultilevel"/>
    <w:tmpl w:val="96B07D2C"/>
    <w:lvl w:ilvl="0" w:tplc="89A62156">
      <w:start w:val="1"/>
      <w:numFmt w:val="decimal"/>
      <w:lvlText w:val="%1."/>
      <w:lvlJc w:val="left"/>
      <w:pPr>
        <w:ind w:left="227" w:hanging="227"/>
      </w:pPr>
      <w:rPr>
        <w:rFonts w:hint="default"/>
        <w:color w:val="BFBFBF" w:themeColor="background1" w:themeShade="BF"/>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20895"/>
    <w:multiLevelType w:val="hybridMultilevel"/>
    <w:tmpl w:val="100AAE42"/>
    <w:lvl w:ilvl="0" w:tplc="B762D7B2">
      <w:start w:val="1"/>
      <w:numFmt w:val="upperLetter"/>
      <w:lvlText w:val="%1."/>
      <w:lvlJc w:val="left"/>
      <w:pPr>
        <w:tabs>
          <w:tab w:val="num" w:pos="2058"/>
        </w:tabs>
        <w:ind w:left="2058" w:hanging="360"/>
      </w:pPr>
      <w:rPr>
        <w:rFonts w:hint="default"/>
        <w:b/>
      </w:rPr>
    </w:lvl>
    <w:lvl w:ilvl="1" w:tplc="0C090003">
      <w:start w:val="1"/>
      <w:numFmt w:val="bullet"/>
      <w:lvlText w:val="o"/>
      <w:lvlJc w:val="left"/>
      <w:pPr>
        <w:tabs>
          <w:tab w:val="num" w:pos="2778"/>
        </w:tabs>
        <w:ind w:left="2778" w:hanging="360"/>
      </w:pPr>
      <w:rPr>
        <w:rFonts w:ascii="Courier New" w:hAnsi="Courier New" w:cs="Courier New" w:hint="default"/>
      </w:rPr>
    </w:lvl>
    <w:lvl w:ilvl="2" w:tplc="0C090005" w:tentative="1">
      <w:start w:val="1"/>
      <w:numFmt w:val="bullet"/>
      <w:lvlText w:val=""/>
      <w:lvlJc w:val="left"/>
      <w:pPr>
        <w:tabs>
          <w:tab w:val="num" w:pos="3498"/>
        </w:tabs>
        <w:ind w:left="3498" w:hanging="360"/>
      </w:pPr>
      <w:rPr>
        <w:rFonts w:ascii="Wingdings" w:hAnsi="Wingdings" w:hint="default"/>
      </w:rPr>
    </w:lvl>
    <w:lvl w:ilvl="3" w:tplc="0C090001" w:tentative="1">
      <w:start w:val="1"/>
      <w:numFmt w:val="bullet"/>
      <w:lvlText w:val=""/>
      <w:lvlJc w:val="left"/>
      <w:pPr>
        <w:tabs>
          <w:tab w:val="num" w:pos="4218"/>
        </w:tabs>
        <w:ind w:left="4218" w:hanging="360"/>
      </w:pPr>
      <w:rPr>
        <w:rFonts w:ascii="Symbol" w:hAnsi="Symbol" w:hint="default"/>
      </w:rPr>
    </w:lvl>
    <w:lvl w:ilvl="4" w:tplc="0C090003" w:tentative="1">
      <w:start w:val="1"/>
      <w:numFmt w:val="bullet"/>
      <w:lvlText w:val="o"/>
      <w:lvlJc w:val="left"/>
      <w:pPr>
        <w:tabs>
          <w:tab w:val="num" w:pos="4938"/>
        </w:tabs>
        <w:ind w:left="4938" w:hanging="360"/>
      </w:pPr>
      <w:rPr>
        <w:rFonts w:ascii="Courier New" w:hAnsi="Courier New" w:cs="Courier New" w:hint="default"/>
      </w:rPr>
    </w:lvl>
    <w:lvl w:ilvl="5" w:tplc="0C090005" w:tentative="1">
      <w:start w:val="1"/>
      <w:numFmt w:val="bullet"/>
      <w:lvlText w:val=""/>
      <w:lvlJc w:val="left"/>
      <w:pPr>
        <w:tabs>
          <w:tab w:val="num" w:pos="5658"/>
        </w:tabs>
        <w:ind w:left="5658" w:hanging="360"/>
      </w:pPr>
      <w:rPr>
        <w:rFonts w:ascii="Wingdings" w:hAnsi="Wingdings" w:hint="default"/>
      </w:rPr>
    </w:lvl>
    <w:lvl w:ilvl="6" w:tplc="0C090001" w:tentative="1">
      <w:start w:val="1"/>
      <w:numFmt w:val="bullet"/>
      <w:lvlText w:val=""/>
      <w:lvlJc w:val="left"/>
      <w:pPr>
        <w:tabs>
          <w:tab w:val="num" w:pos="6378"/>
        </w:tabs>
        <w:ind w:left="6378" w:hanging="360"/>
      </w:pPr>
      <w:rPr>
        <w:rFonts w:ascii="Symbol" w:hAnsi="Symbol" w:hint="default"/>
      </w:rPr>
    </w:lvl>
    <w:lvl w:ilvl="7" w:tplc="0C090003" w:tentative="1">
      <w:start w:val="1"/>
      <w:numFmt w:val="bullet"/>
      <w:lvlText w:val="o"/>
      <w:lvlJc w:val="left"/>
      <w:pPr>
        <w:tabs>
          <w:tab w:val="num" w:pos="7098"/>
        </w:tabs>
        <w:ind w:left="7098" w:hanging="360"/>
      </w:pPr>
      <w:rPr>
        <w:rFonts w:ascii="Courier New" w:hAnsi="Courier New" w:cs="Courier New" w:hint="default"/>
      </w:rPr>
    </w:lvl>
    <w:lvl w:ilvl="8" w:tplc="0C090005" w:tentative="1">
      <w:start w:val="1"/>
      <w:numFmt w:val="bullet"/>
      <w:lvlText w:val=""/>
      <w:lvlJc w:val="left"/>
      <w:pPr>
        <w:tabs>
          <w:tab w:val="num" w:pos="7818"/>
        </w:tabs>
        <w:ind w:left="7818" w:hanging="360"/>
      </w:pPr>
      <w:rPr>
        <w:rFonts w:ascii="Wingdings" w:hAnsi="Wingdings" w:hint="default"/>
      </w:rPr>
    </w:lvl>
  </w:abstractNum>
  <w:abstractNum w:abstractNumId="13">
    <w:nsid w:val="3E0F77AE"/>
    <w:multiLevelType w:val="hybridMultilevel"/>
    <w:tmpl w:val="3482C6FE"/>
    <w:lvl w:ilvl="0" w:tplc="0C090001">
      <w:start w:val="1"/>
      <w:numFmt w:val="bullet"/>
      <w:lvlText w:val=""/>
      <w:lvlJc w:val="left"/>
      <w:pPr>
        <w:tabs>
          <w:tab w:val="num" w:pos="1077"/>
        </w:tabs>
        <w:ind w:left="1077" w:hanging="360"/>
      </w:pPr>
      <w:rPr>
        <w:rFonts w:ascii="Symbol" w:hAnsi="Symbol" w:hint="default"/>
      </w:rPr>
    </w:lvl>
    <w:lvl w:ilvl="1" w:tplc="0C090019" w:tentative="1">
      <w:start w:val="1"/>
      <w:numFmt w:val="lowerLetter"/>
      <w:lvlText w:val="%2."/>
      <w:lvlJc w:val="left"/>
      <w:pPr>
        <w:tabs>
          <w:tab w:val="num" w:pos="1797"/>
        </w:tabs>
        <w:ind w:left="1797" w:hanging="360"/>
      </w:p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14">
    <w:nsid w:val="3EBB464B"/>
    <w:multiLevelType w:val="hybridMultilevel"/>
    <w:tmpl w:val="D1786D54"/>
    <w:lvl w:ilvl="0" w:tplc="85B054FC">
      <w:start w:val="1"/>
      <w:numFmt w:val="decimal"/>
      <w:lvlText w:val="%1."/>
      <w:lvlJc w:val="left"/>
      <w:pPr>
        <w:tabs>
          <w:tab w:val="num" w:pos="360"/>
        </w:tabs>
        <w:ind w:left="360" w:hanging="360"/>
      </w:pPr>
      <w:rPr>
        <w:b/>
      </w:rPr>
    </w:lvl>
    <w:lvl w:ilvl="1" w:tplc="A90CE084">
      <w:start w:val="1"/>
      <w:numFmt w:val="upperLetter"/>
      <w:lvlText w:val="%2."/>
      <w:lvlJc w:val="left"/>
      <w:pPr>
        <w:tabs>
          <w:tab w:val="num" w:pos="1440"/>
        </w:tabs>
        <w:ind w:left="1440" w:hanging="360"/>
      </w:pPr>
      <w:rPr>
        <w:rFonts w:hint="default"/>
        <w:b/>
        <w:color w:val="auto"/>
      </w:rPr>
    </w:lvl>
    <w:lvl w:ilvl="2" w:tplc="EDFA247E">
      <w:start w:val="1"/>
      <w:numFmt w:val="bullet"/>
      <w:lvlText w:val=""/>
      <w:lvlJc w:val="left"/>
      <w:pPr>
        <w:tabs>
          <w:tab w:val="num" w:pos="2340"/>
        </w:tabs>
        <w:ind w:left="2340" w:hanging="360"/>
      </w:pPr>
      <w:rPr>
        <w:rFonts w:ascii="Symbol" w:hAnsi="Symbol" w:hint="default"/>
        <w:b/>
        <w:color w:val="auto"/>
        <w:sz w:val="28"/>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47CA441C"/>
    <w:multiLevelType w:val="hybridMultilevel"/>
    <w:tmpl w:val="3624796C"/>
    <w:lvl w:ilvl="0" w:tplc="0C090001">
      <w:start w:val="1"/>
      <w:numFmt w:val="bullet"/>
      <w:lvlText w:val=""/>
      <w:lvlJc w:val="left"/>
      <w:pPr>
        <w:tabs>
          <w:tab w:val="num" w:pos="360"/>
        </w:tabs>
        <w:ind w:left="360" w:hanging="360"/>
      </w:pPr>
      <w:rPr>
        <w:rFonts w:ascii="Symbol" w:hAnsi="Symbol" w:hint="default"/>
        <w:b w:val="0"/>
      </w:rPr>
    </w:lvl>
    <w:lvl w:ilvl="1" w:tplc="8B908CF2">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F0D6785"/>
    <w:multiLevelType w:val="hybridMultilevel"/>
    <w:tmpl w:val="4A18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B94728"/>
    <w:multiLevelType w:val="hybridMultilevel"/>
    <w:tmpl w:val="76AC0FB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37371A3"/>
    <w:multiLevelType w:val="hybridMultilevel"/>
    <w:tmpl w:val="8816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5D31F5"/>
    <w:multiLevelType w:val="hybridMultilevel"/>
    <w:tmpl w:val="9EBE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874736"/>
    <w:multiLevelType w:val="hybridMultilevel"/>
    <w:tmpl w:val="40C2D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207802"/>
    <w:multiLevelType w:val="multilevel"/>
    <w:tmpl w:val="BF688BAA"/>
    <w:lvl w:ilvl="0">
      <w:start w:val="1"/>
      <w:numFmt w:val="decimal"/>
      <w:lvlText w:val="%1."/>
      <w:lvlJc w:val="left"/>
      <w:pPr>
        <w:tabs>
          <w:tab w:val="num" w:pos="720"/>
        </w:tabs>
        <w:ind w:left="720" w:hanging="360"/>
      </w:pPr>
    </w:lvl>
    <w:lvl w:ilvl="1">
      <w:start w:val="1"/>
      <w:numFmt w:val="decimal"/>
      <w:isLgl/>
      <w:lvlText w:val="%1.%2"/>
      <w:lvlJc w:val="left"/>
      <w:pPr>
        <w:tabs>
          <w:tab w:val="num" w:pos="852"/>
        </w:tabs>
        <w:ind w:left="852" w:hanging="49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14"/>
  </w:num>
  <w:num w:numId="3">
    <w:abstractNumId w:val="0"/>
  </w:num>
  <w:num w:numId="4">
    <w:abstractNumId w:val="16"/>
  </w:num>
  <w:num w:numId="5">
    <w:abstractNumId w:val="6"/>
  </w:num>
  <w:num w:numId="6">
    <w:abstractNumId w:val="2"/>
  </w:num>
  <w:num w:numId="7">
    <w:abstractNumId w:val="18"/>
  </w:num>
  <w:num w:numId="8">
    <w:abstractNumId w:val="12"/>
  </w:num>
  <w:num w:numId="9">
    <w:abstractNumId w:val="13"/>
  </w:num>
  <w:num w:numId="10">
    <w:abstractNumId w:val="15"/>
  </w:num>
  <w:num w:numId="11">
    <w:abstractNumId w:val="1"/>
  </w:num>
  <w:num w:numId="12">
    <w:abstractNumId w:val="9"/>
  </w:num>
  <w:num w:numId="13">
    <w:abstractNumId w:val="21"/>
  </w:num>
  <w:num w:numId="14">
    <w:abstractNumId w:val="3"/>
  </w:num>
  <w:num w:numId="15">
    <w:abstractNumId w:val="5"/>
  </w:num>
  <w:num w:numId="16">
    <w:abstractNumId w:val="4"/>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19"/>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03"/>
    <w:rsid w:val="000011A7"/>
    <w:rsid w:val="000032E8"/>
    <w:rsid w:val="00004965"/>
    <w:rsid w:val="00007A66"/>
    <w:rsid w:val="0002171A"/>
    <w:rsid w:val="00022C32"/>
    <w:rsid w:val="000308FB"/>
    <w:rsid w:val="000323F3"/>
    <w:rsid w:val="00033268"/>
    <w:rsid w:val="00033C9B"/>
    <w:rsid w:val="00036872"/>
    <w:rsid w:val="00043BDC"/>
    <w:rsid w:val="00044D9A"/>
    <w:rsid w:val="00045F2C"/>
    <w:rsid w:val="0005001D"/>
    <w:rsid w:val="00051F78"/>
    <w:rsid w:val="00055230"/>
    <w:rsid w:val="000557F3"/>
    <w:rsid w:val="00061ADF"/>
    <w:rsid w:val="00063DEC"/>
    <w:rsid w:val="00065DD0"/>
    <w:rsid w:val="00070855"/>
    <w:rsid w:val="000755CA"/>
    <w:rsid w:val="00077DDA"/>
    <w:rsid w:val="00080D24"/>
    <w:rsid w:val="00090538"/>
    <w:rsid w:val="000908AE"/>
    <w:rsid w:val="0009263F"/>
    <w:rsid w:val="00094CB0"/>
    <w:rsid w:val="00096C7C"/>
    <w:rsid w:val="000B1EC3"/>
    <w:rsid w:val="000B33CF"/>
    <w:rsid w:val="000B507A"/>
    <w:rsid w:val="000B594A"/>
    <w:rsid w:val="000B5CE4"/>
    <w:rsid w:val="000B6821"/>
    <w:rsid w:val="000C18F9"/>
    <w:rsid w:val="000C4746"/>
    <w:rsid w:val="000C66E9"/>
    <w:rsid w:val="000D07F6"/>
    <w:rsid w:val="000D6622"/>
    <w:rsid w:val="000E38AB"/>
    <w:rsid w:val="000E418C"/>
    <w:rsid w:val="000E4F44"/>
    <w:rsid w:val="000F3AEE"/>
    <w:rsid w:val="000F57E1"/>
    <w:rsid w:val="000F7254"/>
    <w:rsid w:val="00100529"/>
    <w:rsid w:val="001006A3"/>
    <w:rsid w:val="00101B70"/>
    <w:rsid w:val="0010568D"/>
    <w:rsid w:val="0010678D"/>
    <w:rsid w:val="00106ACE"/>
    <w:rsid w:val="001076F8"/>
    <w:rsid w:val="00112C1E"/>
    <w:rsid w:val="001150E5"/>
    <w:rsid w:val="00123A13"/>
    <w:rsid w:val="00123B37"/>
    <w:rsid w:val="00127717"/>
    <w:rsid w:val="00130104"/>
    <w:rsid w:val="00131604"/>
    <w:rsid w:val="00133513"/>
    <w:rsid w:val="00135019"/>
    <w:rsid w:val="001421C1"/>
    <w:rsid w:val="00145E6A"/>
    <w:rsid w:val="0015224C"/>
    <w:rsid w:val="00154009"/>
    <w:rsid w:val="001540EF"/>
    <w:rsid w:val="0015523B"/>
    <w:rsid w:val="00155263"/>
    <w:rsid w:val="001606BB"/>
    <w:rsid w:val="00170815"/>
    <w:rsid w:val="00170F3B"/>
    <w:rsid w:val="00170F6B"/>
    <w:rsid w:val="00171F88"/>
    <w:rsid w:val="00173C82"/>
    <w:rsid w:val="001748A0"/>
    <w:rsid w:val="00175384"/>
    <w:rsid w:val="00180190"/>
    <w:rsid w:val="00186065"/>
    <w:rsid w:val="0019220F"/>
    <w:rsid w:val="0019400A"/>
    <w:rsid w:val="00194266"/>
    <w:rsid w:val="00195868"/>
    <w:rsid w:val="001A5CD8"/>
    <w:rsid w:val="001A6E96"/>
    <w:rsid w:val="001B0A60"/>
    <w:rsid w:val="001B133D"/>
    <w:rsid w:val="001C5887"/>
    <w:rsid w:val="001D00B0"/>
    <w:rsid w:val="001D19BD"/>
    <w:rsid w:val="001D3C1C"/>
    <w:rsid w:val="001E17A3"/>
    <w:rsid w:val="001E43EA"/>
    <w:rsid w:val="001E493D"/>
    <w:rsid w:val="001E5362"/>
    <w:rsid w:val="001F1CB5"/>
    <w:rsid w:val="001F475E"/>
    <w:rsid w:val="001F6D5C"/>
    <w:rsid w:val="001F70CD"/>
    <w:rsid w:val="001F7C03"/>
    <w:rsid w:val="00200313"/>
    <w:rsid w:val="00201733"/>
    <w:rsid w:val="00202CA7"/>
    <w:rsid w:val="002036D7"/>
    <w:rsid w:val="00204769"/>
    <w:rsid w:val="0021623C"/>
    <w:rsid w:val="00220C5C"/>
    <w:rsid w:val="0022380D"/>
    <w:rsid w:val="00226AD4"/>
    <w:rsid w:val="00233A0B"/>
    <w:rsid w:val="00243EE1"/>
    <w:rsid w:val="00255859"/>
    <w:rsid w:val="00260155"/>
    <w:rsid w:val="00260B6E"/>
    <w:rsid w:val="00261892"/>
    <w:rsid w:val="0026290F"/>
    <w:rsid w:val="00265D74"/>
    <w:rsid w:val="0027569C"/>
    <w:rsid w:val="002824B1"/>
    <w:rsid w:val="00284D41"/>
    <w:rsid w:val="00295B9B"/>
    <w:rsid w:val="002A0474"/>
    <w:rsid w:val="002A2844"/>
    <w:rsid w:val="002A4D5A"/>
    <w:rsid w:val="002A57A2"/>
    <w:rsid w:val="002A58F5"/>
    <w:rsid w:val="002B73B8"/>
    <w:rsid w:val="002B792C"/>
    <w:rsid w:val="002C057D"/>
    <w:rsid w:val="002C275E"/>
    <w:rsid w:val="002C2EC4"/>
    <w:rsid w:val="002C5536"/>
    <w:rsid w:val="002C6433"/>
    <w:rsid w:val="002D1C18"/>
    <w:rsid w:val="002D301C"/>
    <w:rsid w:val="002D7740"/>
    <w:rsid w:val="002E49D0"/>
    <w:rsid w:val="002F04B6"/>
    <w:rsid w:val="002F2B26"/>
    <w:rsid w:val="00301121"/>
    <w:rsid w:val="003038D5"/>
    <w:rsid w:val="00303CB2"/>
    <w:rsid w:val="00305CFE"/>
    <w:rsid w:val="00306E41"/>
    <w:rsid w:val="0031231F"/>
    <w:rsid w:val="00312912"/>
    <w:rsid w:val="0032012F"/>
    <w:rsid w:val="00322F90"/>
    <w:rsid w:val="00330CB4"/>
    <w:rsid w:val="00330E28"/>
    <w:rsid w:val="003311C6"/>
    <w:rsid w:val="00333DAA"/>
    <w:rsid w:val="00334CD1"/>
    <w:rsid w:val="00341698"/>
    <w:rsid w:val="00343EC5"/>
    <w:rsid w:val="003443DC"/>
    <w:rsid w:val="00345DF7"/>
    <w:rsid w:val="003474E5"/>
    <w:rsid w:val="0035113C"/>
    <w:rsid w:val="00352FB6"/>
    <w:rsid w:val="00360B5C"/>
    <w:rsid w:val="00361492"/>
    <w:rsid w:val="00362EF6"/>
    <w:rsid w:val="003729DD"/>
    <w:rsid w:val="00372FBA"/>
    <w:rsid w:val="003742DB"/>
    <w:rsid w:val="0038372F"/>
    <w:rsid w:val="003854DD"/>
    <w:rsid w:val="00387D56"/>
    <w:rsid w:val="003944DA"/>
    <w:rsid w:val="003A1EE7"/>
    <w:rsid w:val="003A238C"/>
    <w:rsid w:val="003A380D"/>
    <w:rsid w:val="003A5EBB"/>
    <w:rsid w:val="003B492E"/>
    <w:rsid w:val="003B6C42"/>
    <w:rsid w:val="003C12CE"/>
    <w:rsid w:val="003C3191"/>
    <w:rsid w:val="003C66CA"/>
    <w:rsid w:val="003C728D"/>
    <w:rsid w:val="003D06C1"/>
    <w:rsid w:val="003D19F4"/>
    <w:rsid w:val="003F1269"/>
    <w:rsid w:val="00401CA8"/>
    <w:rsid w:val="004028F6"/>
    <w:rsid w:val="00404483"/>
    <w:rsid w:val="00405042"/>
    <w:rsid w:val="0040569B"/>
    <w:rsid w:val="0040581A"/>
    <w:rsid w:val="004110B3"/>
    <w:rsid w:val="0041155D"/>
    <w:rsid w:val="00414EF7"/>
    <w:rsid w:val="00416061"/>
    <w:rsid w:val="0041748F"/>
    <w:rsid w:val="00417AB3"/>
    <w:rsid w:val="00422C72"/>
    <w:rsid w:val="00430D42"/>
    <w:rsid w:val="00431E60"/>
    <w:rsid w:val="0043260D"/>
    <w:rsid w:val="0043375C"/>
    <w:rsid w:val="004346CC"/>
    <w:rsid w:val="004353F6"/>
    <w:rsid w:val="004360D7"/>
    <w:rsid w:val="00440231"/>
    <w:rsid w:val="00440B1B"/>
    <w:rsid w:val="0044167B"/>
    <w:rsid w:val="00446450"/>
    <w:rsid w:val="00446817"/>
    <w:rsid w:val="00452F73"/>
    <w:rsid w:val="00453280"/>
    <w:rsid w:val="004563B6"/>
    <w:rsid w:val="00456836"/>
    <w:rsid w:val="00461237"/>
    <w:rsid w:val="004615B9"/>
    <w:rsid w:val="004623BB"/>
    <w:rsid w:val="004716F3"/>
    <w:rsid w:val="0047651E"/>
    <w:rsid w:val="00476618"/>
    <w:rsid w:val="0048033B"/>
    <w:rsid w:val="00480D47"/>
    <w:rsid w:val="00481241"/>
    <w:rsid w:val="00483814"/>
    <w:rsid w:val="00484189"/>
    <w:rsid w:val="00491FE9"/>
    <w:rsid w:val="00493058"/>
    <w:rsid w:val="00493291"/>
    <w:rsid w:val="004A0602"/>
    <w:rsid w:val="004A12DF"/>
    <w:rsid w:val="004A2EE3"/>
    <w:rsid w:val="004A359B"/>
    <w:rsid w:val="004A5AF4"/>
    <w:rsid w:val="004A5D3B"/>
    <w:rsid w:val="004B0623"/>
    <w:rsid w:val="004B350D"/>
    <w:rsid w:val="004B7527"/>
    <w:rsid w:val="004C297F"/>
    <w:rsid w:val="004D46A6"/>
    <w:rsid w:val="004D579E"/>
    <w:rsid w:val="004E3926"/>
    <w:rsid w:val="004F111C"/>
    <w:rsid w:val="004F38B9"/>
    <w:rsid w:val="00501F6C"/>
    <w:rsid w:val="005034A3"/>
    <w:rsid w:val="00514ED5"/>
    <w:rsid w:val="005156BE"/>
    <w:rsid w:val="00521D9D"/>
    <w:rsid w:val="0052292A"/>
    <w:rsid w:val="00524450"/>
    <w:rsid w:val="005261D9"/>
    <w:rsid w:val="00531AAB"/>
    <w:rsid w:val="00532901"/>
    <w:rsid w:val="005336B7"/>
    <w:rsid w:val="00543F9B"/>
    <w:rsid w:val="0054649F"/>
    <w:rsid w:val="00551F40"/>
    <w:rsid w:val="00552F8E"/>
    <w:rsid w:val="00555968"/>
    <w:rsid w:val="0055685F"/>
    <w:rsid w:val="00563C96"/>
    <w:rsid w:val="00573980"/>
    <w:rsid w:val="00573BAB"/>
    <w:rsid w:val="0057410B"/>
    <w:rsid w:val="0057585B"/>
    <w:rsid w:val="00583F68"/>
    <w:rsid w:val="00590728"/>
    <w:rsid w:val="005A78B2"/>
    <w:rsid w:val="005A798A"/>
    <w:rsid w:val="005B1D0B"/>
    <w:rsid w:val="005B6484"/>
    <w:rsid w:val="005B6944"/>
    <w:rsid w:val="005B7AFE"/>
    <w:rsid w:val="005B7FE9"/>
    <w:rsid w:val="005C38D6"/>
    <w:rsid w:val="005C3AA4"/>
    <w:rsid w:val="005C4171"/>
    <w:rsid w:val="005C4894"/>
    <w:rsid w:val="005D0A9E"/>
    <w:rsid w:val="005D1DF5"/>
    <w:rsid w:val="005D3C56"/>
    <w:rsid w:val="005D7A5D"/>
    <w:rsid w:val="005E1E19"/>
    <w:rsid w:val="005E4D8F"/>
    <w:rsid w:val="005F2658"/>
    <w:rsid w:val="005F56B6"/>
    <w:rsid w:val="00600A3B"/>
    <w:rsid w:val="0060336C"/>
    <w:rsid w:val="006039C6"/>
    <w:rsid w:val="0060490B"/>
    <w:rsid w:val="00604C88"/>
    <w:rsid w:val="00606C71"/>
    <w:rsid w:val="00613916"/>
    <w:rsid w:val="006201C1"/>
    <w:rsid w:val="00620377"/>
    <w:rsid w:val="006224DA"/>
    <w:rsid w:val="006225A1"/>
    <w:rsid w:val="00622B5A"/>
    <w:rsid w:val="0062337C"/>
    <w:rsid w:val="00624E0C"/>
    <w:rsid w:val="006252C2"/>
    <w:rsid w:val="0063211E"/>
    <w:rsid w:val="006369E6"/>
    <w:rsid w:val="00645B93"/>
    <w:rsid w:val="00651F08"/>
    <w:rsid w:val="00652BC9"/>
    <w:rsid w:val="00652D34"/>
    <w:rsid w:val="00652EA4"/>
    <w:rsid w:val="00653D5D"/>
    <w:rsid w:val="00655586"/>
    <w:rsid w:val="00657962"/>
    <w:rsid w:val="00660E0A"/>
    <w:rsid w:val="0066236A"/>
    <w:rsid w:val="00663826"/>
    <w:rsid w:val="00671E7B"/>
    <w:rsid w:val="00675A1B"/>
    <w:rsid w:val="00677828"/>
    <w:rsid w:val="00683E59"/>
    <w:rsid w:val="0069315D"/>
    <w:rsid w:val="00694119"/>
    <w:rsid w:val="006A606D"/>
    <w:rsid w:val="006B009D"/>
    <w:rsid w:val="006C0742"/>
    <w:rsid w:val="006C5A16"/>
    <w:rsid w:val="006C6131"/>
    <w:rsid w:val="006C620D"/>
    <w:rsid w:val="006D3203"/>
    <w:rsid w:val="006D4C9D"/>
    <w:rsid w:val="006D4E4E"/>
    <w:rsid w:val="006D5DB8"/>
    <w:rsid w:val="006D5F59"/>
    <w:rsid w:val="006D7186"/>
    <w:rsid w:val="006E3FC4"/>
    <w:rsid w:val="006E6F8A"/>
    <w:rsid w:val="006F254D"/>
    <w:rsid w:val="007008F4"/>
    <w:rsid w:val="00700FD1"/>
    <w:rsid w:val="00707BF5"/>
    <w:rsid w:val="0071045B"/>
    <w:rsid w:val="007145DD"/>
    <w:rsid w:val="00714973"/>
    <w:rsid w:val="00721774"/>
    <w:rsid w:val="007235E9"/>
    <w:rsid w:val="00723B1E"/>
    <w:rsid w:val="00723F55"/>
    <w:rsid w:val="007254D4"/>
    <w:rsid w:val="00725D1B"/>
    <w:rsid w:val="0072602A"/>
    <w:rsid w:val="00732FCA"/>
    <w:rsid w:val="00735AEE"/>
    <w:rsid w:val="0074258C"/>
    <w:rsid w:val="00745FDD"/>
    <w:rsid w:val="00746FD2"/>
    <w:rsid w:val="00751E90"/>
    <w:rsid w:val="0075309E"/>
    <w:rsid w:val="00754D8E"/>
    <w:rsid w:val="0075542C"/>
    <w:rsid w:val="00762E67"/>
    <w:rsid w:val="0076367D"/>
    <w:rsid w:val="00763D12"/>
    <w:rsid w:val="00765843"/>
    <w:rsid w:val="00766CFD"/>
    <w:rsid w:val="0077085C"/>
    <w:rsid w:val="00770A14"/>
    <w:rsid w:val="007711F6"/>
    <w:rsid w:val="0077571B"/>
    <w:rsid w:val="00783A07"/>
    <w:rsid w:val="00785DC1"/>
    <w:rsid w:val="00793B7A"/>
    <w:rsid w:val="00794B5F"/>
    <w:rsid w:val="00796B71"/>
    <w:rsid w:val="007A3E58"/>
    <w:rsid w:val="007A70D9"/>
    <w:rsid w:val="007B2428"/>
    <w:rsid w:val="007B6619"/>
    <w:rsid w:val="007B738A"/>
    <w:rsid w:val="007C580E"/>
    <w:rsid w:val="007C7EE5"/>
    <w:rsid w:val="007D2230"/>
    <w:rsid w:val="007D227A"/>
    <w:rsid w:val="007D25C4"/>
    <w:rsid w:val="007D36C0"/>
    <w:rsid w:val="007D449A"/>
    <w:rsid w:val="007E4E10"/>
    <w:rsid w:val="007F1D32"/>
    <w:rsid w:val="007F3A05"/>
    <w:rsid w:val="007F4368"/>
    <w:rsid w:val="007F5CE9"/>
    <w:rsid w:val="00802F6B"/>
    <w:rsid w:val="008035B9"/>
    <w:rsid w:val="00812BE3"/>
    <w:rsid w:val="00812D9E"/>
    <w:rsid w:val="0081426C"/>
    <w:rsid w:val="008221CE"/>
    <w:rsid w:val="008226B3"/>
    <w:rsid w:val="00826483"/>
    <w:rsid w:val="00826FB7"/>
    <w:rsid w:val="00827F56"/>
    <w:rsid w:val="0083361E"/>
    <w:rsid w:val="00836A3C"/>
    <w:rsid w:val="00836B87"/>
    <w:rsid w:val="00841784"/>
    <w:rsid w:val="00843138"/>
    <w:rsid w:val="00845A57"/>
    <w:rsid w:val="00850B98"/>
    <w:rsid w:val="008526CE"/>
    <w:rsid w:val="00860658"/>
    <w:rsid w:val="00861EB7"/>
    <w:rsid w:val="008708F7"/>
    <w:rsid w:val="00870D50"/>
    <w:rsid w:val="00871286"/>
    <w:rsid w:val="00874656"/>
    <w:rsid w:val="00874E09"/>
    <w:rsid w:val="00875144"/>
    <w:rsid w:val="00876FB1"/>
    <w:rsid w:val="0088142E"/>
    <w:rsid w:val="00881771"/>
    <w:rsid w:val="008840A1"/>
    <w:rsid w:val="0088579F"/>
    <w:rsid w:val="008A3DEF"/>
    <w:rsid w:val="008A6F7E"/>
    <w:rsid w:val="008B3F31"/>
    <w:rsid w:val="008B76F6"/>
    <w:rsid w:val="008C29E4"/>
    <w:rsid w:val="008C2FB0"/>
    <w:rsid w:val="008D043D"/>
    <w:rsid w:val="008D14C1"/>
    <w:rsid w:val="008D5AD9"/>
    <w:rsid w:val="008D64BA"/>
    <w:rsid w:val="008E2FFB"/>
    <w:rsid w:val="008E3603"/>
    <w:rsid w:val="008E63C2"/>
    <w:rsid w:val="008E7A09"/>
    <w:rsid w:val="008F0CF9"/>
    <w:rsid w:val="008F2365"/>
    <w:rsid w:val="008F26B8"/>
    <w:rsid w:val="0090179A"/>
    <w:rsid w:val="0090239D"/>
    <w:rsid w:val="00903F71"/>
    <w:rsid w:val="00910291"/>
    <w:rsid w:val="009138F5"/>
    <w:rsid w:val="009167EC"/>
    <w:rsid w:val="009215A5"/>
    <w:rsid w:val="009257D9"/>
    <w:rsid w:val="009260AD"/>
    <w:rsid w:val="0093029C"/>
    <w:rsid w:val="009348D3"/>
    <w:rsid w:val="00940DEC"/>
    <w:rsid w:val="009411CE"/>
    <w:rsid w:val="00942C3B"/>
    <w:rsid w:val="009460F4"/>
    <w:rsid w:val="009467B0"/>
    <w:rsid w:val="00947100"/>
    <w:rsid w:val="00947921"/>
    <w:rsid w:val="00964DB7"/>
    <w:rsid w:val="009675DF"/>
    <w:rsid w:val="00967B56"/>
    <w:rsid w:val="0097034B"/>
    <w:rsid w:val="009751BB"/>
    <w:rsid w:val="00977582"/>
    <w:rsid w:val="00980B2F"/>
    <w:rsid w:val="009853FB"/>
    <w:rsid w:val="00994721"/>
    <w:rsid w:val="009A07BD"/>
    <w:rsid w:val="009A42A0"/>
    <w:rsid w:val="009A439D"/>
    <w:rsid w:val="009A5E5B"/>
    <w:rsid w:val="009A66A6"/>
    <w:rsid w:val="009B0B8B"/>
    <w:rsid w:val="009B561F"/>
    <w:rsid w:val="009B7534"/>
    <w:rsid w:val="009B79B2"/>
    <w:rsid w:val="009C13B2"/>
    <w:rsid w:val="009C307B"/>
    <w:rsid w:val="009C3B1D"/>
    <w:rsid w:val="009D1290"/>
    <w:rsid w:val="009D4476"/>
    <w:rsid w:val="009D6B5D"/>
    <w:rsid w:val="009E165A"/>
    <w:rsid w:val="009E39D6"/>
    <w:rsid w:val="009E78B9"/>
    <w:rsid w:val="00A019D6"/>
    <w:rsid w:val="00A10959"/>
    <w:rsid w:val="00A201B5"/>
    <w:rsid w:val="00A20892"/>
    <w:rsid w:val="00A240AE"/>
    <w:rsid w:val="00A261DB"/>
    <w:rsid w:val="00A26D80"/>
    <w:rsid w:val="00A26E64"/>
    <w:rsid w:val="00A31529"/>
    <w:rsid w:val="00A35F97"/>
    <w:rsid w:val="00A40B9D"/>
    <w:rsid w:val="00A44837"/>
    <w:rsid w:val="00A46C04"/>
    <w:rsid w:val="00A520A8"/>
    <w:rsid w:val="00A52111"/>
    <w:rsid w:val="00A53C1F"/>
    <w:rsid w:val="00A53ED3"/>
    <w:rsid w:val="00A71CF2"/>
    <w:rsid w:val="00A87434"/>
    <w:rsid w:val="00A87E6E"/>
    <w:rsid w:val="00A90873"/>
    <w:rsid w:val="00A91321"/>
    <w:rsid w:val="00A91875"/>
    <w:rsid w:val="00A94C9D"/>
    <w:rsid w:val="00A950C2"/>
    <w:rsid w:val="00AA3BDC"/>
    <w:rsid w:val="00AA4A65"/>
    <w:rsid w:val="00AA51DF"/>
    <w:rsid w:val="00AB4189"/>
    <w:rsid w:val="00AB57CD"/>
    <w:rsid w:val="00AC00D8"/>
    <w:rsid w:val="00AC52D2"/>
    <w:rsid w:val="00AC6E02"/>
    <w:rsid w:val="00AC73BD"/>
    <w:rsid w:val="00AD015B"/>
    <w:rsid w:val="00AD2C72"/>
    <w:rsid w:val="00AD3FD7"/>
    <w:rsid w:val="00AD40B5"/>
    <w:rsid w:val="00AD5D63"/>
    <w:rsid w:val="00AD5D83"/>
    <w:rsid w:val="00AD7328"/>
    <w:rsid w:val="00AD7FA7"/>
    <w:rsid w:val="00AE3CB3"/>
    <w:rsid w:val="00AE5F4F"/>
    <w:rsid w:val="00AF1182"/>
    <w:rsid w:val="00AF20FE"/>
    <w:rsid w:val="00AF3C57"/>
    <w:rsid w:val="00B00CA9"/>
    <w:rsid w:val="00B0145C"/>
    <w:rsid w:val="00B047F6"/>
    <w:rsid w:val="00B13A65"/>
    <w:rsid w:val="00B14896"/>
    <w:rsid w:val="00B2195F"/>
    <w:rsid w:val="00B243E1"/>
    <w:rsid w:val="00B2467E"/>
    <w:rsid w:val="00B258A9"/>
    <w:rsid w:val="00B333A7"/>
    <w:rsid w:val="00B343A8"/>
    <w:rsid w:val="00B43167"/>
    <w:rsid w:val="00B43E76"/>
    <w:rsid w:val="00B46B55"/>
    <w:rsid w:val="00B47E29"/>
    <w:rsid w:val="00B5029E"/>
    <w:rsid w:val="00B512E2"/>
    <w:rsid w:val="00B54EE2"/>
    <w:rsid w:val="00B5758F"/>
    <w:rsid w:val="00B61D78"/>
    <w:rsid w:val="00B63543"/>
    <w:rsid w:val="00B63CB5"/>
    <w:rsid w:val="00B64245"/>
    <w:rsid w:val="00B65A7C"/>
    <w:rsid w:val="00B67C72"/>
    <w:rsid w:val="00B70F5D"/>
    <w:rsid w:val="00B72F0D"/>
    <w:rsid w:val="00B73B8D"/>
    <w:rsid w:val="00B75642"/>
    <w:rsid w:val="00B75E45"/>
    <w:rsid w:val="00B76ACB"/>
    <w:rsid w:val="00B778C0"/>
    <w:rsid w:val="00B822B0"/>
    <w:rsid w:val="00B83BE8"/>
    <w:rsid w:val="00B849DB"/>
    <w:rsid w:val="00B86340"/>
    <w:rsid w:val="00B864C7"/>
    <w:rsid w:val="00B958C2"/>
    <w:rsid w:val="00BA3459"/>
    <w:rsid w:val="00BB5B3F"/>
    <w:rsid w:val="00BB67BE"/>
    <w:rsid w:val="00BB7333"/>
    <w:rsid w:val="00BC571F"/>
    <w:rsid w:val="00BC68D5"/>
    <w:rsid w:val="00BD061D"/>
    <w:rsid w:val="00BD36CD"/>
    <w:rsid w:val="00BE31FA"/>
    <w:rsid w:val="00BE3340"/>
    <w:rsid w:val="00C041EC"/>
    <w:rsid w:val="00C05F47"/>
    <w:rsid w:val="00C05FA0"/>
    <w:rsid w:val="00C152EB"/>
    <w:rsid w:val="00C20263"/>
    <w:rsid w:val="00C207B6"/>
    <w:rsid w:val="00C20EA3"/>
    <w:rsid w:val="00C24E4D"/>
    <w:rsid w:val="00C330D1"/>
    <w:rsid w:val="00C33523"/>
    <w:rsid w:val="00C33ADD"/>
    <w:rsid w:val="00C35126"/>
    <w:rsid w:val="00C369FB"/>
    <w:rsid w:val="00C4493E"/>
    <w:rsid w:val="00C45BAC"/>
    <w:rsid w:val="00C47345"/>
    <w:rsid w:val="00C4753E"/>
    <w:rsid w:val="00C50C93"/>
    <w:rsid w:val="00C56253"/>
    <w:rsid w:val="00C56354"/>
    <w:rsid w:val="00C62E0F"/>
    <w:rsid w:val="00C706E2"/>
    <w:rsid w:val="00C75126"/>
    <w:rsid w:val="00C752DE"/>
    <w:rsid w:val="00C8018F"/>
    <w:rsid w:val="00C84D2C"/>
    <w:rsid w:val="00C85F95"/>
    <w:rsid w:val="00C91255"/>
    <w:rsid w:val="00C9236C"/>
    <w:rsid w:val="00C92F38"/>
    <w:rsid w:val="00C9470F"/>
    <w:rsid w:val="00C948A9"/>
    <w:rsid w:val="00C9551E"/>
    <w:rsid w:val="00C961D4"/>
    <w:rsid w:val="00CA4F0E"/>
    <w:rsid w:val="00CA63FC"/>
    <w:rsid w:val="00CA6E8C"/>
    <w:rsid w:val="00CB3FB7"/>
    <w:rsid w:val="00CB4096"/>
    <w:rsid w:val="00CB511F"/>
    <w:rsid w:val="00CB51DE"/>
    <w:rsid w:val="00CB7A9F"/>
    <w:rsid w:val="00CC0087"/>
    <w:rsid w:val="00CC14F6"/>
    <w:rsid w:val="00CC1BFB"/>
    <w:rsid w:val="00CD3475"/>
    <w:rsid w:val="00CD3A4C"/>
    <w:rsid w:val="00CD3EC9"/>
    <w:rsid w:val="00CD42B4"/>
    <w:rsid w:val="00CD557E"/>
    <w:rsid w:val="00CE4A3F"/>
    <w:rsid w:val="00CE4A5E"/>
    <w:rsid w:val="00CE4E37"/>
    <w:rsid w:val="00CE5632"/>
    <w:rsid w:val="00CF19F7"/>
    <w:rsid w:val="00CF1CB5"/>
    <w:rsid w:val="00CF558F"/>
    <w:rsid w:val="00CF6E22"/>
    <w:rsid w:val="00D058D9"/>
    <w:rsid w:val="00D0592F"/>
    <w:rsid w:val="00D1122B"/>
    <w:rsid w:val="00D146BF"/>
    <w:rsid w:val="00D16870"/>
    <w:rsid w:val="00D20B72"/>
    <w:rsid w:val="00D20E38"/>
    <w:rsid w:val="00D23661"/>
    <w:rsid w:val="00D33689"/>
    <w:rsid w:val="00D35A7B"/>
    <w:rsid w:val="00D40D61"/>
    <w:rsid w:val="00D411D2"/>
    <w:rsid w:val="00D430F8"/>
    <w:rsid w:val="00D43C87"/>
    <w:rsid w:val="00D51AD2"/>
    <w:rsid w:val="00D55918"/>
    <w:rsid w:val="00D56257"/>
    <w:rsid w:val="00D617E9"/>
    <w:rsid w:val="00D67636"/>
    <w:rsid w:val="00D67898"/>
    <w:rsid w:val="00D745EE"/>
    <w:rsid w:val="00D75190"/>
    <w:rsid w:val="00D77322"/>
    <w:rsid w:val="00D815B9"/>
    <w:rsid w:val="00D82E3B"/>
    <w:rsid w:val="00D87734"/>
    <w:rsid w:val="00D90B0A"/>
    <w:rsid w:val="00D92B2D"/>
    <w:rsid w:val="00D95C4C"/>
    <w:rsid w:val="00D95F4A"/>
    <w:rsid w:val="00DA3794"/>
    <w:rsid w:val="00DA60FE"/>
    <w:rsid w:val="00DA7D9E"/>
    <w:rsid w:val="00DB4F57"/>
    <w:rsid w:val="00DB558F"/>
    <w:rsid w:val="00DB75DA"/>
    <w:rsid w:val="00DC0A1D"/>
    <w:rsid w:val="00DD3914"/>
    <w:rsid w:val="00DD4704"/>
    <w:rsid w:val="00DE6189"/>
    <w:rsid w:val="00DE6F3C"/>
    <w:rsid w:val="00DE7B4B"/>
    <w:rsid w:val="00DF102E"/>
    <w:rsid w:val="00DF4671"/>
    <w:rsid w:val="00DF7DB7"/>
    <w:rsid w:val="00E01743"/>
    <w:rsid w:val="00E01846"/>
    <w:rsid w:val="00E01DD4"/>
    <w:rsid w:val="00E02FCB"/>
    <w:rsid w:val="00E035F1"/>
    <w:rsid w:val="00E04D34"/>
    <w:rsid w:val="00E06F02"/>
    <w:rsid w:val="00E15AB3"/>
    <w:rsid w:val="00E17B02"/>
    <w:rsid w:val="00E21D1B"/>
    <w:rsid w:val="00E24224"/>
    <w:rsid w:val="00E256C7"/>
    <w:rsid w:val="00E30627"/>
    <w:rsid w:val="00E30D9B"/>
    <w:rsid w:val="00E31963"/>
    <w:rsid w:val="00E34E7F"/>
    <w:rsid w:val="00E42254"/>
    <w:rsid w:val="00E4455F"/>
    <w:rsid w:val="00E44E4D"/>
    <w:rsid w:val="00E4627B"/>
    <w:rsid w:val="00E57CDC"/>
    <w:rsid w:val="00E6028A"/>
    <w:rsid w:val="00E61C9F"/>
    <w:rsid w:val="00E644D6"/>
    <w:rsid w:val="00E67EBC"/>
    <w:rsid w:val="00E7196E"/>
    <w:rsid w:val="00E71C98"/>
    <w:rsid w:val="00E73E65"/>
    <w:rsid w:val="00E74D6B"/>
    <w:rsid w:val="00E760A4"/>
    <w:rsid w:val="00E77008"/>
    <w:rsid w:val="00E850A1"/>
    <w:rsid w:val="00E90CF1"/>
    <w:rsid w:val="00E9132A"/>
    <w:rsid w:val="00E943E7"/>
    <w:rsid w:val="00E94CC4"/>
    <w:rsid w:val="00EA15CB"/>
    <w:rsid w:val="00EA1C52"/>
    <w:rsid w:val="00EA2F87"/>
    <w:rsid w:val="00EA58E2"/>
    <w:rsid w:val="00EB163E"/>
    <w:rsid w:val="00EB36D7"/>
    <w:rsid w:val="00EC05C3"/>
    <w:rsid w:val="00EC0ECA"/>
    <w:rsid w:val="00EC3D8F"/>
    <w:rsid w:val="00EC548A"/>
    <w:rsid w:val="00EC690A"/>
    <w:rsid w:val="00ED09D6"/>
    <w:rsid w:val="00ED2A97"/>
    <w:rsid w:val="00ED60D0"/>
    <w:rsid w:val="00EE0845"/>
    <w:rsid w:val="00EE12BF"/>
    <w:rsid w:val="00EE3155"/>
    <w:rsid w:val="00EE3351"/>
    <w:rsid w:val="00EE4AA4"/>
    <w:rsid w:val="00EE70DB"/>
    <w:rsid w:val="00F065F0"/>
    <w:rsid w:val="00F215D8"/>
    <w:rsid w:val="00F2430F"/>
    <w:rsid w:val="00F26EFE"/>
    <w:rsid w:val="00F27AA5"/>
    <w:rsid w:val="00F313DA"/>
    <w:rsid w:val="00F33A79"/>
    <w:rsid w:val="00F426A9"/>
    <w:rsid w:val="00F429E3"/>
    <w:rsid w:val="00F51ACA"/>
    <w:rsid w:val="00F52FAE"/>
    <w:rsid w:val="00F5354E"/>
    <w:rsid w:val="00F55409"/>
    <w:rsid w:val="00F56C4B"/>
    <w:rsid w:val="00F639E7"/>
    <w:rsid w:val="00F646D9"/>
    <w:rsid w:val="00F66F5C"/>
    <w:rsid w:val="00F70079"/>
    <w:rsid w:val="00F73121"/>
    <w:rsid w:val="00F73779"/>
    <w:rsid w:val="00F74897"/>
    <w:rsid w:val="00F74E88"/>
    <w:rsid w:val="00F76408"/>
    <w:rsid w:val="00F7723C"/>
    <w:rsid w:val="00F81757"/>
    <w:rsid w:val="00F904AD"/>
    <w:rsid w:val="00F93485"/>
    <w:rsid w:val="00F968B0"/>
    <w:rsid w:val="00F96D7C"/>
    <w:rsid w:val="00F97F06"/>
    <w:rsid w:val="00FA0BBD"/>
    <w:rsid w:val="00FA5AEB"/>
    <w:rsid w:val="00FA5AF3"/>
    <w:rsid w:val="00FA6BB9"/>
    <w:rsid w:val="00FB3F72"/>
    <w:rsid w:val="00FB4ABB"/>
    <w:rsid w:val="00FC055E"/>
    <w:rsid w:val="00FC2390"/>
    <w:rsid w:val="00FC2B14"/>
    <w:rsid w:val="00FC4AA1"/>
    <w:rsid w:val="00FC5DB5"/>
    <w:rsid w:val="00FC7015"/>
    <w:rsid w:val="00FC752A"/>
    <w:rsid w:val="00FD2CB9"/>
    <w:rsid w:val="00FD5787"/>
    <w:rsid w:val="00FE0B86"/>
    <w:rsid w:val="00FE4FA6"/>
    <w:rsid w:val="00FF0A3A"/>
    <w:rsid w:val="00FF3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C03"/>
    <w:rPr>
      <w:sz w:val="24"/>
      <w:szCs w:val="24"/>
    </w:rPr>
  </w:style>
  <w:style w:type="paragraph" w:styleId="Heading1">
    <w:name w:val="heading 1"/>
    <w:basedOn w:val="Normal"/>
    <w:next w:val="Normal"/>
    <w:link w:val="Heading1Char"/>
    <w:uiPriority w:val="99"/>
    <w:qFormat/>
    <w:rsid w:val="009348D3"/>
    <w:pPr>
      <w:keepNext/>
      <w:shd w:val="clear" w:color="auto" w:fill="8DB3E2" w:themeFill="text2" w:themeFillTint="66"/>
      <w:tabs>
        <w:tab w:val="left" w:pos="851"/>
      </w:tabs>
      <w:spacing w:before="240" w:after="240"/>
      <w:outlineLvl w:val="0"/>
    </w:pPr>
    <w:rPr>
      <w:rFonts w:asciiTheme="minorHAnsi" w:hAnsiTheme="minorHAnsi" w:cstheme="minorHAnsi"/>
      <w:b/>
      <w:bCs/>
      <w:caps/>
      <w:noProof/>
      <w:color w:val="1F497D" w:themeColor="text2"/>
      <w:sz w:val="32"/>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7C03"/>
    <w:pPr>
      <w:ind w:left="720"/>
      <w:contextualSpacing/>
    </w:pPr>
  </w:style>
  <w:style w:type="paragraph" w:styleId="FootnoteText">
    <w:name w:val="footnote text"/>
    <w:basedOn w:val="Normal"/>
    <w:link w:val="FootnoteTextChar"/>
    <w:qFormat/>
    <w:rsid w:val="001F7C03"/>
    <w:rPr>
      <w:sz w:val="20"/>
      <w:szCs w:val="20"/>
    </w:rPr>
  </w:style>
  <w:style w:type="character" w:customStyle="1" w:styleId="FootnoteTextChar">
    <w:name w:val="Footnote Text Char"/>
    <w:basedOn w:val="DefaultParagraphFont"/>
    <w:link w:val="FootnoteText"/>
    <w:rsid w:val="001F7C03"/>
  </w:style>
  <w:style w:type="character" w:styleId="FootnoteReference">
    <w:name w:val="footnote reference"/>
    <w:aliases w:val="fr,ftref,16 Point,Superscript 6 Point,(NECG) Footnote Reference,Ref,de nota al pie"/>
    <w:rsid w:val="001F7C03"/>
    <w:rPr>
      <w:vertAlign w:val="superscript"/>
    </w:rPr>
  </w:style>
  <w:style w:type="paragraph" w:styleId="EndnoteText">
    <w:name w:val="endnote text"/>
    <w:basedOn w:val="Normal"/>
    <w:link w:val="EndnoteTextChar"/>
    <w:uiPriority w:val="99"/>
    <w:rsid w:val="00133513"/>
    <w:rPr>
      <w:sz w:val="20"/>
      <w:szCs w:val="20"/>
    </w:rPr>
  </w:style>
  <w:style w:type="character" w:customStyle="1" w:styleId="EndnoteTextChar">
    <w:name w:val="Endnote Text Char"/>
    <w:basedOn w:val="DefaultParagraphFont"/>
    <w:link w:val="EndnoteText"/>
    <w:uiPriority w:val="99"/>
    <w:rsid w:val="00133513"/>
  </w:style>
  <w:style w:type="character" w:styleId="EndnoteReference">
    <w:name w:val="endnote reference"/>
    <w:basedOn w:val="DefaultParagraphFont"/>
    <w:uiPriority w:val="99"/>
    <w:rsid w:val="00133513"/>
    <w:rPr>
      <w:vertAlign w:val="superscript"/>
    </w:rPr>
  </w:style>
  <w:style w:type="paragraph" w:styleId="Header">
    <w:name w:val="header"/>
    <w:basedOn w:val="Normal"/>
    <w:link w:val="HeaderChar"/>
    <w:rsid w:val="00843138"/>
    <w:pPr>
      <w:tabs>
        <w:tab w:val="center" w:pos="4513"/>
        <w:tab w:val="right" w:pos="9026"/>
      </w:tabs>
    </w:pPr>
  </w:style>
  <w:style w:type="character" w:customStyle="1" w:styleId="HeaderChar">
    <w:name w:val="Header Char"/>
    <w:basedOn w:val="DefaultParagraphFont"/>
    <w:link w:val="Header"/>
    <w:rsid w:val="00843138"/>
    <w:rPr>
      <w:sz w:val="24"/>
      <w:szCs w:val="24"/>
    </w:rPr>
  </w:style>
  <w:style w:type="paragraph" w:styleId="Footer">
    <w:name w:val="footer"/>
    <w:basedOn w:val="Normal"/>
    <w:link w:val="FooterChar"/>
    <w:rsid w:val="00843138"/>
    <w:pPr>
      <w:tabs>
        <w:tab w:val="center" w:pos="4513"/>
        <w:tab w:val="right" w:pos="9026"/>
      </w:tabs>
    </w:pPr>
  </w:style>
  <w:style w:type="character" w:customStyle="1" w:styleId="FooterChar">
    <w:name w:val="Footer Char"/>
    <w:basedOn w:val="DefaultParagraphFont"/>
    <w:link w:val="Footer"/>
    <w:uiPriority w:val="99"/>
    <w:rsid w:val="00843138"/>
    <w:rPr>
      <w:sz w:val="24"/>
      <w:szCs w:val="24"/>
    </w:rPr>
  </w:style>
  <w:style w:type="character" w:styleId="Hyperlink">
    <w:name w:val="Hyperlink"/>
    <w:uiPriority w:val="99"/>
    <w:rsid w:val="005D0A9E"/>
    <w:rPr>
      <w:color w:val="0000FF"/>
      <w:u w:val="single"/>
    </w:rPr>
  </w:style>
  <w:style w:type="character" w:styleId="CommentReference">
    <w:name w:val="annotation reference"/>
    <w:basedOn w:val="DefaultParagraphFont"/>
    <w:rsid w:val="005D0A9E"/>
    <w:rPr>
      <w:sz w:val="16"/>
      <w:szCs w:val="16"/>
    </w:rPr>
  </w:style>
  <w:style w:type="paragraph" w:styleId="CommentText">
    <w:name w:val="annotation text"/>
    <w:basedOn w:val="Normal"/>
    <w:link w:val="CommentTextChar"/>
    <w:rsid w:val="005D0A9E"/>
    <w:rPr>
      <w:sz w:val="20"/>
      <w:szCs w:val="20"/>
    </w:rPr>
  </w:style>
  <w:style w:type="character" w:customStyle="1" w:styleId="CommentTextChar">
    <w:name w:val="Comment Text Char"/>
    <w:basedOn w:val="DefaultParagraphFont"/>
    <w:link w:val="CommentText"/>
    <w:rsid w:val="005D0A9E"/>
  </w:style>
  <w:style w:type="paragraph" w:styleId="CommentSubject">
    <w:name w:val="annotation subject"/>
    <w:basedOn w:val="CommentText"/>
    <w:next w:val="CommentText"/>
    <w:link w:val="CommentSubjectChar"/>
    <w:rsid w:val="005D0A9E"/>
    <w:rPr>
      <w:b/>
      <w:bCs/>
    </w:rPr>
  </w:style>
  <w:style w:type="character" w:customStyle="1" w:styleId="CommentSubjectChar">
    <w:name w:val="Comment Subject Char"/>
    <w:basedOn w:val="CommentTextChar"/>
    <w:link w:val="CommentSubject"/>
    <w:rsid w:val="005D0A9E"/>
    <w:rPr>
      <w:b/>
      <w:bCs/>
    </w:rPr>
  </w:style>
  <w:style w:type="paragraph" w:styleId="BalloonText">
    <w:name w:val="Balloon Text"/>
    <w:basedOn w:val="Normal"/>
    <w:link w:val="BalloonTextChar"/>
    <w:rsid w:val="005D0A9E"/>
    <w:rPr>
      <w:rFonts w:ascii="Tahoma" w:hAnsi="Tahoma" w:cs="Tahoma"/>
      <w:sz w:val="16"/>
      <w:szCs w:val="16"/>
    </w:rPr>
  </w:style>
  <w:style w:type="character" w:customStyle="1" w:styleId="BalloonTextChar">
    <w:name w:val="Balloon Text Char"/>
    <w:basedOn w:val="DefaultParagraphFont"/>
    <w:link w:val="BalloonText"/>
    <w:rsid w:val="005D0A9E"/>
    <w:rPr>
      <w:rFonts w:ascii="Tahoma" w:hAnsi="Tahoma" w:cs="Tahoma"/>
      <w:sz w:val="16"/>
      <w:szCs w:val="16"/>
    </w:rPr>
  </w:style>
  <w:style w:type="paragraph" w:customStyle="1" w:styleId="List-number-2">
    <w:name w:val="List-number-2"/>
    <w:basedOn w:val="Normal"/>
    <w:link w:val="List-number-2Char"/>
    <w:rsid w:val="00F065F0"/>
    <w:pPr>
      <w:numPr>
        <w:ilvl w:val="1"/>
        <w:numId w:val="12"/>
      </w:numPr>
      <w:spacing w:before="60"/>
    </w:pPr>
    <w:rPr>
      <w:rFonts w:ascii="Arial" w:hAnsi="Arial"/>
      <w:sz w:val="18"/>
      <w:lang w:eastAsia="en-US"/>
    </w:rPr>
  </w:style>
  <w:style w:type="paragraph" w:customStyle="1" w:styleId="List-number-1">
    <w:name w:val="List-number-1"/>
    <w:basedOn w:val="Normal"/>
    <w:link w:val="List-number-1CharChar"/>
    <w:rsid w:val="00F065F0"/>
    <w:pPr>
      <w:numPr>
        <w:numId w:val="12"/>
      </w:numPr>
      <w:spacing w:before="160"/>
    </w:pPr>
    <w:rPr>
      <w:rFonts w:ascii="Arial" w:hAnsi="Arial"/>
      <w:sz w:val="18"/>
      <w:lang w:eastAsia="en-US"/>
    </w:rPr>
  </w:style>
  <w:style w:type="character" w:customStyle="1" w:styleId="List-number-1CharChar">
    <w:name w:val="List-number-1 Char Char"/>
    <w:link w:val="List-number-1"/>
    <w:rsid w:val="00F065F0"/>
    <w:rPr>
      <w:rFonts w:ascii="Arial" w:hAnsi="Arial"/>
      <w:sz w:val="18"/>
      <w:szCs w:val="24"/>
      <w:lang w:eastAsia="en-US"/>
    </w:rPr>
  </w:style>
  <w:style w:type="table" w:styleId="TableGrid">
    <w:name w:val="Table Grid"/>
    <w:basedOn w:val="TableNormal"/>
    <w:rsid w:val="00E1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A2EE3"/>
    <w:rPr>
      <w:rFonts w:ascii="Book Antiqua" w:eastAsia="Calibri" w:hAnsi="Book Antiqua"/>
      <w:sz w:val="22"/>
      <w:szCs w:val="22"/>
      <w:lang w:eastAsia="en-US"/>
    </w:rPr>
  </w:style>
  <w:style w:type="character" w:customStyle="1" w:styleId="List-number-2Char">
    <w:name w:val="List-number-2 Char"/>
    <w:basedOn w:val="DefaultParagraphFont"/>
    <w:link w:val="List-number-2"/>
    <w:locked/>
    <w:rsid w:val="00F968B0"/>
    <w:rPr>
      <w:rFonts w:ascii="Arial" w:hAnsi="Arial"/>
      <w:sz w:val="18"/>
      <w:szCs w:val="24"/>
      <w:lang w:eastAsia="en-US"/>
    </w:rPr>
  </w:style>
  <w:style w:type="character" w:customStyle="1" w:styleId="EndnoteTextChar1">
    <w:name w:val="Endnote Text Char1"/>
    <w:basedOn w:val="DefaultParagraphFont"/>
    <w:uiPriority w:val="99"/>
    <w:locked/>
    <w:rsid w:val="009348D3"/>
    <w:rPr>
      <w:rFonts w:ascii="Times" w:hAnsi="Times" w:cs="Times"/>
      <w:color w:val="000000"/>
      <w:sz w:val="20"/>
      <w:szCs w:val="20"/>
    </w:rPr>
  </w:style>
  <w:style w:type="character" w:customStyle="1" w:styleId="ListParagraphChar">
    <w:name w:val="List Paragraph Char"/>
    <w:basedOn w:val="DefaultParagraphFont"/>
    <w:link w:val="ListParagraph"/>
    <w:uiPriority w:val="34"/>
    <w:rsid w:val="009348D3"/>
    <w:rPr>
      <w:sz w:val="24"/>
      <w:szCs w:val="24"/>
    </w:rPr>
  </w:style>
  <w:style w:type="character" w:customStyle="1" w:styleId="Heading1Char">
    <w:name w:val="Heading 1 Char"/>
    <w:basedOn w:val="DefaultParagraphFont"/>
    <w:link w:val="Heading1"/>
    <w:uiPriority w:val="99"/>
    <w:rsid w:val="009348D3"/>
    <w:rPr>
      <w:rFonts w:asciiTheme="minorHAnsi" w:hAnsiTheme="minorHAnsi" w:cstheme="minorHAnsi"/>
      <w:b/>
      <w:bCs/>
      <w:caps/>
      <w:noProof/>
      <w:color w:val="1F497D" w:themeColor="text2"/>
      <w:sz w:val="32"/>
      <w:szCs w:val="28"/>
      <w:shd w:val="clear" w:color="auto" w:fill="8DB3E2" w:themeFill="text2" w:themeFillTint="6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C03"/>
    <w:rPr>
      <w:sz w:val="24"/>
      <w:szCs w:val="24"/>
    </w:rPr>
  </w:style>
  <w:style w:type="paragraph" w:styleId="Heading1">
    <w:name w:val="heading 1"/>
    <w:basedOn w:val="Normal"/>
    <w:next w:val="Normal"/>
    <w:link w:val="Heading1Char"/>
    <w:uiPriority w:val="99"/>
    <w:qFormat/>
    <w:rsid w:val="009348D3"/>
    <w:pPr>
      <w:keepNext/>
      <w:shd w:val="clear" w:color="auto" w:fill="8DB3E2" w:themeFill="text2" w:themeFillTint="66"/>
      <w:tabs>
        <w:tab w:val="left" w:pos="851"/>
      </w:tabs>
      <w:spacing w:before="240" w:after="240"/>
      <w:outlineLvl w:val="0"/>
    </w:pPr>
    <w:rPr>
      <w:rFonts w:asciiTheme="minorHAnsi" w:hAnsiTheme="minorHAnsi" w:cstheme="minorHAnsi"/>
      <w:b/>
      <w:bCs/>
      <w:caps/>
      <w:noProof/>
      <w:color w:val="1F497D" w:themeColor="text2"/>
      <w:sz w:val="32"/>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7C03"/>
    <w:pPr>
      <w:ind w:left="720"/>
      <w:contextualSpacing/>
    </w:pPr>
  </w:style>
  <w:style w:type="paragraph" w:styleId="FootnoteText">
    <w:name w:val="footnote text"/>
    <w:basedOn w:val="Normal"/>
    <w:link w:val="FootnoteTextChar"/>
    <w:qFormat/>
    <w:rsid w:val="001F7C03"/>
    <w:rPr>
      <w:sz w:val="20"/>
      <w:szCs w:val="20"/>
    </w:rPr>
  </w:style>
  <w:style w:type="character" w:customStyle="1" w:styleId="FootnoteTextChar">
    <w:name w:val="Footnote Text Char"/>
    <w:basedOn w:val="DefaultParagraphFont"/>
    <w:link w:val="FootnoteText"/>
    <w:rsid w:val="001F7C03"/>
  </w:style>
  <w:style w:type="character" w:styleId="FootnoteReference">
    <w:name w:val="footnote reference"/>
    <w:aliases w:val="fr,ftref,16 Point,Superscript 6 Point,(NECG) Footnote Reference,Ref,de nota al pie"/>
    <w:rsid w:val="001F7C03"/>
    <w:rPr>
      <w:vertAlign w:val="superscript"/>
    </w:rPr>
  </w:style>
  <w:style w:type="paragraph" w:styleId="EndnoteText">
    <w:name w:val="endnote text"/>
    <w:basedOn w:val="Normal"/>
    <w:link w:val="EndnoteTextChar"/>
    <w:uiPriority w:val="99"/>
    <w:rsid w:val="00133513"/>
    <w:rPr>
      <w:sz w:val="20"/>
      <w:szCs w:val="20"/>
    </w:rPr>
  </w:style>
  <w:style w:type="character" w:customStyle="1" w:styleId="EndnoteTextChar">
    <w:name w:val="Endnote Text Char"/>
    <w:basedOn w:val="DefaultParagraphFont"/>
    <w:link w:val="EndnoteText"/>
    <w:uiPriority w:val="99"/>
    <w:rsid w:val="00133513"/>
  </w:style>
  <w:style w:type="character" w:styleId="EndnoteReference">
    <w:name w:val="endnote reference"/>
    <w:basedOn w:val="DefaultParagraphFont"/>
    <w:uiPriority w:val="99"/>
    <w:rsid w:val="00133513"/>
    <w:rPr>
      <w:vertAlign w:val="superscript"/>
    </w:rPr>
  </w:style>
  <w:style w:type="paragraph" w:styleId="Header">
    <w:name w:val="header"/>
    <w:basedOn w:val="Normal"/>
    <w:link w:val="HeaderChar"/>
    <w:rsid w:val="00843138"/>
    <w:pPr>
      <w:tabs>
        <w:tab w:val="center" w:pos="4513"/>
        <w:tab w:val="right" w:pos="9026"/>
      </w:tabs>
    </w:pPr>
  </w:style>
  <w:style w:type="character" w:customStyle="1" w:styleId="HeaderChar">
    <w:name w:val="Header Char"/>
    <w:basedOn w:val="DefaultParagraphFont"/>
    <w:link w:val="Header"/>
    <w:rsid w:val="00843138"/>
    <w:rPr>
      <w:sz w:val="24"/>
      <w:szCs w:val="24"/>
    </w:rPr>
  </w:style>
  <w:style w:type="paragraph" w:styleId="Footer">
    <w:name w:val="footer"/>
    <w:basedOn w:val="Normal"/>
    <w:link w:val="FooterChar"/>
    <w:rsid w:val="00843138"/>
    <w:pPr>
      <w:tabs>
        <w:tab w:val="center" w:pos="4513"/>
        <w:tab w:val="right" w:pos="9026"/>
      </w:tabs>
    </w:pPr>
  </w:style>
  <w:style w:type="character" w:customStyle="1" w:styleId="FooterChar">
    <w:name w:val="Footer Char"/>
    <w:basedOn w:val="DefaultParagraphFont"/>
    <w:link w:val="Footer"/>
    <w:uiPriority w:val="99"/>
    <w:rsid w:val="00843138"/>
    <w:rPr>
      <w:sz w:val="24"/>
      <w:szCs w:val="24"/>
    </w:rPr>
  </w:style>
  <w:style w:type="character" w:styleId="Hyperlink">
    <w:name w:val="Hyperlink"/>
    <w:uiPriority w:val="99"/>
    <w:rsid w:val="005D0A9E"/>
    <w:rPr>
      <w:color w:val="0000FF"/>
      <w:u w:val="single"/>
    </w:rPr>
  </w:style>
  <w:style w:type="character" w:styleId="CommentReference">
    <w:name w:val="annotation reference"/>
    <w:basedOn w:val="DefaultParagraphFont"/>
    <w:rsid w:val="005D0A9E"/>
    <w:rPr>
      <w:sz w:val="16"/>
      <w:szCs w:val="16"/>
    </w:rPr>
  </w:style>
  <w:style w:type="paragraph" w:styleId="CommentText">
    <w:name w:val="annotation text"/>
    <w:basedOn w:val="Normal"/>
    <w:link w:val="CommentTextChar"/>
    <w:rsid w:val="005D0A9E"/>
    <w:rPr>
      <w:sz w:val="20"/>
      <w:szCs w:val="20"/>
    </w:rPr>
  </w:style>
  <w:style w:type="character" w:customStyle="1" w:styleId="CommentTextChar">
    <w:name w:val="Comment Text Char"/>
    <w:basedOn w:val="DefaultParagraphFont"/>
    <w:link w:val="CommentText"/>
    <w:rsid w:val="005D0A9E"/>
  </w:style>
  <w:style w:type="paragraph" w:styleId="CommentSubject">
    <w:name w:val="annotation subject"/>
    <w:basedOn w:val="CommentText"/>
    <w:next w:val="CommentText"/>
    <w:link w:val="CommentSubjectChar"/>
    <w:rsid w:val="005D0A9E"/>
    <w:rPr>
      <w:b/>
      <w:bCs/>
    </w:rPr>
  </w:style>
  <w:style w:type="character" w:customStyle="1" w:styleId="CommentSubjectChar">
    <w:name w:val="Comment Subject Char"/>
    <w:basedOn w:val="CommentTextChar"/>
    <w:link w:val="CommentSubject"/>
    <w:rsid w:val="005D0A9E"/>
    <w:rPr>
      <w:b/>
      <w:bCs/>
    </w:rPr>
  </w:style>
  <w:style w:type="paragraph" w:styleId="BalloonText">
    <w:name w:val="Balloon Text"/>
    <w:basedOn w:val="Normal"/>
    <w:link w:val="BalloonTextChar"/>
    <w:rsid w:val="005D0A9E"/>
    <w:rPr>
      <w:rFonts w:ascii="Tahoma" w:hAnsi="Tahoma" w:cs="Tahoma"/>
      <w:sz w:val="16"/>
      <w:szCs w:val="16"/>
    </w:rPr>
  </w:style>
  <w:style w:type="character" w:customStyle="1" w:styleId="BalloonTextChar">
    <w:name w:val="Balloon Text Char"/>
    <w:basedOn w:val="DefaultParagraphFont"/>
    <w:link w:val="BalloonText"/>
    <w:rsid w:val="005D0A9E"/>
    <w:rPr>
      <w:rFonts w:ascii="Tahoma" w:hAnsi="Tahoma" w:cs="Tahoma"/>
      <w:sz w:val="16"/>
      <w:szCs w:val="16"/>
    </w:rPr>
  </w:style>
  <w:style w:type="paragraph" w:customStyle="1" w:styleId="List-number-2">
    <w:name w:val="List-number-2"/>
    <w:basedOn w:val="Normal"/>
    <w:link w:val="List-number-2Char"/>
    <w:rsid w:val="00F065F0"/>
    <w:pPr>
      <w:numPr>
        <w:ilvl w:val="1"/>
        <w:numId w:val="12"/>
      </w:numPr>
      <w:spacing w:before="60"/>
    </w:pPr>
    <w:rPr>
      <w:rFonts w:ascii="Arial" w:hAnsi="Arial"/>
      <w:sz w:val="18"/>
      <w:lang w:eastAsia="en-US"/>
    </w:rPr>
  </w:style>
  <w:style w:type="paragraph" w:customStyle="1" w:styleId="List-number-1">
    <w:name w:val="List-number-1"/>
    <w:basedOn w:val="Normal"/>
    <w:link w:val="List-number-1CharChar"/>
    <w:rsid w:val="00F065F0"/>
    <w:pPr>
      <w:numPr>
        <w:numId w:val="12"/>
      </w:numPr>
      <w:spacing w:before="160"/>
    </w:pPr>
    <w:rPr>
      <w:rFonts w:ascii="Arial" w:hAnsi="Arial"/>
      <w:sz w:val="18"/>
      <w:lang w:eastAsia="en-US"/>
    </w:rPr>
  </w:style>
  <w:style w:type="character" w:customStyle="1" w:styleId="List-number-1CharChar">
    <w:name w:val="List-number-1 Char Char"/>
    <w:link w:val="List-number-1"/>
    <w:rsid w:val="00F065F0"/>
    <w:rPr>
      <w:rFonts w:ascii="Arial" w:hAnsi="Arial"/>
      <w:sz w:val="18"/>
      <w:szCs w:val="24"/>
      <w:lang w:eastAsia="en-US"/>
    </w:rPr>
  </w:style>
  <w:style w:type="table" w:styleId="TableGrid">
    <w:name w:val="Table Grid"/>
    <w:basedOn w:val="TableNormal"/>
    <w:rsid w:val="00E1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A2EE3"/>
    <w:rPr>
      <w:rFonts w:ascii="Book Antiqua" w:eastAsia="Calibri" w:hAnsi="Book Antiqua"/>
      <w:sz w:val="22"/>
      <w:szCs w:val="22"/>
      <w:lang w:eastAsia="en-US"/>
    </w:rPr>
  </w:style>
  <w:style w:type="character" w:customStyle="1" w:styleId="List-number-2Char">
    <w:name w:val="List-number-2 Char"/>
    <w:basedOn w:val="DefaultParagraphFont"/>
    <w:link w:val="List-number-2"/>
    <w:locked/>
    <w:rsid w:val="00F968B0"/>
    <w:rPr>
      <w:rFonts w:ascii="Arial" w:hAnsi="Arial"/>
      <w:sz w:val="18"/>
      <w:szCs w:val="24"/>
      <w:lang w:eastAsia="en-US"/>
    </w:rPr>
  </w:style>
  <w:style w:type="character" w:customStyle="1" w:styleId="EndnoteTextChar1">
    <w:name w:val="Endnote Text Char1"/>
    <w:basedOn w:val="DefaultParagraphFont"/>
    <w:uiPriority w:val="99"/>
    <w:locked/>
    <w:rsid w:val="009348D3"/>
    <w:rPr>
      <w:rFonts w:ascii="Times" w:hAnsi="Times" w:cs="Times"/>
      <w:color w:val="000000"/>
      <w:sz w:val="20"/>
      <w:szCs w:val="20"/>
    </w:rPr>
  </w:style>
  <w:style w:type="character" w:customStyle="1" w:styleId="ListParagraphChar">
    <w:name w:val="List Paragraph Char"/>
    <w:basedOn w:val="DefaultParagraphFont"/>
    <w:link w:val="ListParagraph"/>
    <w:uiPriority w:val="34"/>
    <w:rsid w:val="009348D3"/>
    <w:rPr>
      <w:sz w:val="24"/>
      <w:szCs w:val="24"/>
    </w:rPr>
  </w:style>
  <w:style w:type="character" w:customStyle="1" w:styleId="Heading1Char">
    <w:name w:val="Heading 1 Char"/>
    <w:basedOn w:val="DefaultParagraphFont"/>
    <w:link w:val="Heading1"/>
    <w:uiPriority w:val="99"/>
    <w:rsid w:val="009348D3"/>
    <w:rPr>
      <w:rFonts w:asciiTheme="minorHAnsi" w:hAnsiTheme="minorHAnsi" w:cstheme="minorHAnsi"/>
      <w:b/>
      <w:bCs/>
      <w:caps/>
      <w:noProof/>
      <w:color w:val="1F497D" w:themeColor="text2"/>
      <w:sz w:val="32"/>
      <w:szCs w:val="28"/>
      <w:shd w:val="clear" w:color="auto" w:fill="8DB3E2" w:themeFill="text2" w:themeFillTint="6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255">
      <w:bodyDiv w:val="1"/>
      <w:marLeft w:val="0"/>
      <w:marRight w:val="0"/>
      <w:marTop w:val="0"/>
      <w:marBottom w:val="0"/>
      <w:divBdr>
        <w:top w:val="none" w:sz="0" w:space="0" w:color="auto"/>
        <w:left w:val="none" w:sz="0" w:space="0" w:color="auto"/>
        <w:bottom w:val="none" w:sz="0" w:space="0" w:color="auto"/>
        <w:right w:val="none" w:sz="0" w:space="0" w:color="auto"/>
      </w:divBdr>
    </w:div>
    <w:div w:id="66803672">
      <w:bodyDiv w:val="1"/>
      <w:marLeft w:val="0"/>
      <w:marRight w:val="0"/>
      <w:marTop w:val="0"/>
      <w:marBottom w:val="0"/>
      <w:divBdr>
        <w:top w:val="none" w:sz="0" w:space="0" w:color="auto"/>
        <w:left w:val="none" w:sz="0" w:space="0" w:color="auto"/>
        <w:bottom w:val="none" w:sz="0" w:space="0" w:color="auto"/>
        <w:right w:val="none" w:sz="0" w:space="0" w:color="auto"/>
      </w:divBdr>
    </w:div>
    <w:div w:id="764885524">
      <w:bodyDiv w:val="1"/>
      <w:marLeft w:val="0"/>
      <w:marRight w:val="0"/>
      <w:marTop w:val="0"/>
      <w:marBottom w:val="0"/>
      <w:divBdr>
        <w:top w:val="none" w:sz="0" w:space="0" w:color="auto"/>
        <w:left w:val="none" w:sz="0" w:space="0" w:color="auto"/>
        <w:bottom w:val="none" w:sz="0" w:space="0" w:color="auto"/>
        <w:right w:val="none" w:sz="0" w:space="0" w:color="auto"/>
      </w:divBdr>
    </w:div>
    <w:div w:id="1127355291">
      <w:bodyDiv w:val="1"/>
      <w:marLeft w:val="0"/>
      <w:marRight w:val="0"/>
      <w:marTop w:val="0"/>
      <w:marBottom w:val="0"/>
      <w:divBdr>
        <w:top w:val="none" w:sz="0" w:space="0" w:color="auto"/>
        <w:left w:val="none" w:sz="0" w:space="0" w:color="auto"/>
        <w:bottom w:val="none" w:sz="0" w:space="0" w:color="auto"/>
        <w:right w:val="none" w:sz="0" w:space="0" w:color="auto"/>
      </w:divBdr>
    </w:div>
    <w:div w:id="1422021765">
      <w:bodyDiv w:val="1"/>
      <w:marLeft w:val="0"/>
      <w:marRight w:val="0"/>
      <w:marTop w:val="0"/>
      <w:marBottom w:val="0"/>
      <w:divBdr>
        <w:top w:val="none" w:sz="0" w:space="0" w:color="auto"/>
        <w:left w:val="none" w:sz="0" w:space="0" w:color="auto"/>
        <w:bottom w:val="none" w:sz="0" w:space="0" w:color="auto"/>
        <w:right w:val="none" w:sz="0" w:space="0" w:color="auto"/>
      </w:divBdr>
    </w:div>
    <w:div w:id="18277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2" Type="http://schemas.openxmlformats.org/officeDocument/2006/relationships/hyperlink" Target="http://www.thelancet.com" TargetMode="External"/><Relationship Id="rId1" Type="http://schemas.openxmlformats.org/officeDocument/2006/relationships/hyperlink" Target="http://www.watercentre.org/wash2011/wash-2011-ke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BDF8E-146C-45C0-853B-106335D4085E}"/>
</file>

<file path=customXml/itemProps2.xml><?xml version="1.0" encoding="utf-8"?>
<ds:datastoreItem xmlns:ds="http://schemas.openxmlformats.org/officeDocument/2006/customXml" ds:itemID="{F51D3A37-25BD-4E3B-9379-C7BB6B14B3A9}"/>
</file>

<file path=customXml/itemProps3.xml><?xml version="1.0" encoding="utf-8"?>
<ds:datastoreItem xmlns:ds="http://schemas.openxmlformats.org/officeDocument/2006/customXml" ds:itemID="{DF9F19E4-B9D6-4B2B-BF66-40AED93DF8D2}"/>
</file>

<file path=customXml/itemProps4.xml><?xml version="1.0" encoding="utf-8"?>
<ds:datastoreItem xmlns:ds="http://schemas.openxmlformats.org/officeDocument/2006/customXml" ds:itemID="{355A4E3A-ED3B-4C60-AB44-4E8A24F5989A}"/>
</file>

<file path=docProps/app.xml><?xml version="1.0" encoding="utf-8"?>
<Properties xmlns="http://schemas.openxmlformats.org/officeDocument/2006/extended-properties" xmlns:vt="http://schemas.openxmlformats.org/officeDocument/2006/docPropsVTypes">
  <Template>Normal.dotm</Template>
  <TotalTime>0</TotalTime>
  <Pages>18</Pages>
  <Words>6288</Words>
  <Characters>35844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Wolfsbauer</dc:creator>
  <cp:lastModifiedBy>Felicity Miller</cp:lastModifiedBy>
  <cp:revision>2</cp:revision>
  <cp:lastPrinted>2012-01-24T00:34:00Z</cp:lastPrinted>
  <dcterms:created xsi:type="dcterms:W3CDTF">2012-01-25T00:11:00Z</dcterms:created>
  <dcterms:modified xsi:type="dcterms:W3CDTF">2012-01-25T00:11:00Z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