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60101" w14:textId="040342C6" w:rsidR="00A96CB5" w:rsidRPr="00A96CB5" w:rsidRDefault="00A96CB5" w:rsidP="00A96CB5">
      <w:pPr>
        <w:pStyle w:val="Title"/>
        <w:spacing w:after="0"/>
        <w:rPr>
          <w:sz w:val="28"/>
          <w:szCs w:val="28"/>
        </w:rPr>
      </w:pPr>
      <w:bookmarkStart w:id="0" w:name="_GoBack"/>
      <w:bookmarkEnd w:id="0"/>
      <w:r w:rsidRPr="00A96CB5">
        <w:rPr>
          <w:sz w:val="28"/>
          <w:szCs w:val="28"/>
        </w:rPr>
        <w:t>Independent Mid-Term Evaluation of</w:t>
      </w:r>
    </w:p>
    <w:p w14:paraId="55014C6B" w14:textId="77777777" w:rsidR="00A96CB5" w:rsidRPr="00A96CB5" w:rsidRDefault="00A96CB5" w:rsidP="00A96CB5">
      <w:pPr>
        <w:pStyle w:val="Title"/>
        <w:spacing w:after="0"/>
        <w:rPr>
          <w:rFonts w:asciiTheme="minorHAnsi" w:hAnsiTheme="minorHAnsi" w:cstheme="minorHAnsi"/>
          <w:sz w:val="28"/>
          <w:szCs w:val="28"/>
        </w:rPr>
      </w:pPr>
      <w:r w:rsidRPr="00A96CB5">
        <w:rPr>
          <w:sz w:val="28"/>
          <w:szCs w:val="28"/>
        </w:rPr>
        <w:t>the Water and Sanitation Initiative Global Program</w:t>
      </w:r>
    </w:p>
    <w:p w14:paraId="0C2560D4" w14:textId="77777777" w:rsidR="00A96CB5" w:rsidRPr="00A96CB5" w:rsidRDefault="00A96CB5" w:rsidP="00A96CB5">
      <w:pPr>
        <w:rPr>
          <w:rFonts w:asciiTheme="minorHAnsi" w:hAnsiTheme="minorHAnsi" w:cstheme="minorHAnsi"/>
          <w:lang w:val="en-GB"/>
        </w:rPr>
      </w:pPr>
    </w:p>
    <w:p w14:paraId="11004FA7" w14:textId="53FC7AB4" w:rsidR="00A96CB5" w:rsidRPr="00A96CB5" w:rsidRDefault="00A96CB5" w:rsidP="00A96CB5">
      <w:pPr>
        <w:jc w:val="center"/>
        <w:rPr>
          <w:rFonts w:asciiTheme="minorHAnsi" w:hAnsiTheme="minorHAnsi" w:cstheme="minorHAnsi"/>
          <w:sz w:val="28"/>
          <w:szCs w:val="28"/>
          <w:lang w:val="en-GB"/>
        </w:rPr>
      </w:pPr>
      <w:r w:rsidRPr="00A96CB5">
        <w:rPr>
          <w:rFonts w:asciiTheme="minorHAnsi" w:hAnsiTheme="minorHAnsi" w:cstheme="minorHAnsi"/>
          <w:sz w:val="28"/>
          <w:szCs w:val="28"/>
        </w:rPr>
        <w:t>Management Response</w:t>
      </w:r>
    </w:p>
    <w:p w14:paraId="7DF481D7" w14:textId="77777777" w:rsidR="00A96CB5" w:rsidRPr="00A96CB5" w:rsidRDefault="00A96CB5">
      <w:pPr>
        <w:rPr>
          <w:rFonts w:asciiTheme="minorHAnsi" w:hAnsiTheme="minorHAnsi" w:cstheme="minorHAnsi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8"/>
        <w:gridCol w:w="2039"/>
        <w:gridCol w:w="2038"/>
        <w:gridCol w:w="3491"/>
      </w:tblGrid>
      <w:tr w:rsidR="00A96CB5" w:rsidRPr="00A96CB5" w14:paraId="71CCFE4D" w14:textId="77777777" w:rsidTr="00DB13E8">
        <w:trPr>
          <w:trHeight w:val="93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4767" w14:textId="77777777" w:rsidR="00A96CB5" w:rsidRPr="00A96CB5" w:rsidRDefault="00A96CB5" w:rsidP="00DB13E8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A96C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Water and Sanitation Initiative (WSI) Global Program </w:t>
            </w:r>
          </w:p>
        </w:tc>
      </w:tr>
      <w:tr w:rsidR="00A96CB5" w:rsidRPr="00A96CB5" w14:paraId="4CC831B1" w14:textId="77777777" w:rsidTr="00DB13E8">
        <w:trPr>
          <w:trHeight w:val="208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4BF8A" w14:textId="77777777" w:rsidR="00A96CB5" w:rsidRPr="00A96CB5" w:rsidRDefault="00A96CB5" w:rsidP="00DB13E8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6CB5">
              <w:rPr>
                <w:rFonts w:asciiTheme="minorHAnsi" w:hAnsiTheme="minorHAnsi" w:cstheme="minorHAnsi"/>
                <w:sz w:val="20"/>
                <w:szCs w:val="20"/>
              </w:rPr>
              <w:t>AidWorks initiative number: INI691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0832" w14:textId="77777777" w:rsidR="00A96CB5" w:rsidRPr="00A96CB5" w:rsidRDefault="00A96CB5" w:rsidP="00DB13E8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6CB5" w:rsidRPr="00A96CB5" w14:paraId="3F24E6AC" w14:textId="77777777" w:rsidTr="00DB13E8">
        <w:trPr>
          <w:trHeight w:val="93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730BD" w14:textId="77777777" w:rsidR="00A96CB5" w:rsidRPr="00A96CB5" w:rsidRDefault="00A96CB5" w:rsidP="00DB13E8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6CB5">
              <w:rPr>
                <w:rFonts w:asciiTheme="minorHAnsi" w:hAnsiTheme="minorHAnsi" w:cstheme="minorHAnsi"/>
                <w:sz w:val="20"/>
                <w:szCs w:val="20"/>
              </w:rPr>
              <w:t xml:space="preserve">Commencement date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5898A" w14:textId="77777777" w:rsidR="00A96CB5" w:rsidRPr="00A96CB5" w:rsidRDefault="00A96CB5" w:rsidP="00DB13E8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6CB5">
              <w:rPr>
                <w:rFonts w:asciiTheme="minorHAnsi" w:hAnsiTheme="minorHAnsi" w:cstheme="minorHAnsi"/>
                <w:sz w:val="20"/>
                <w:szCs w:val="20"/>
              </w:rPr>
              <w:t>July 2011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6CE5" w14:textId="77777777" w:rsidR="00A96CB5" w:rsidRPr="00A96CB5" w:rsidRDefault="00A96CB5" w:rsidP="00DB13E8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6CB5">
              <w:rPr>
                <w:rFonts w:asciiTheme="minorHAnsi" w:hAnsiTheme="minorHAnsi" w:cstheme="minorHAnsi"/>
                <w:sz w:val="20"/>
                <w:szCs w:val="20"/>
              </w:rPr>
              <w:t xml:space="preserve">Completion date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471D" w14:textId="77777777" w:rsidR="00A96CB5" w:rsidRPr="00A96CB5" w:rsidRDefault="00A96CB5" w:rsidP="00DB13E8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6CB5">
              <w:rPr>
                <w:rFonts w:asciiTheme="minorHAnsi" w:hAnsiTheme="minorHAnsi" w:cstheme="minorHAnsi"/>
                <w:sz w:val="20"/>
                <w:szCs w:val="20"/>
              </w:rPr>
              <w:t xml:space="preserve">30 June 2016 </w:t>
            </w:r>
          </w:p>
        </w:tc>
      </w:tr>
      <w:tr w:rsidR="00A96CB5" w:rsidRPr="00A96CB5" w14:paraId="66A64109" w14:textId="77777777" w:rsidTr="00DB13E8">
        <w:trPr>
          <w:trHeight w:val="93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224BD" w14:textId="77777777" w:rsidR="00A96CB5" w:rsidRPr="00A96CB5" w:rsidRDefault="00A96CB5" w:rsidP="00DB13E8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6CB5">
              <w:rPr>
                <w:rFonts w:asciiTheme="minorHAnsi" w:hAnsiTheme="minorHAnsi" w:cstheme="minorHAnsi"/>
                <w:sz w:val="20"/>
                <w:szCs w:val="20"/>
              </w:rPr>
              <w:t xml:space="preserve">Total Australian $ 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0861" w14:textId="77777777" w:rsidR="00A96CB5" w:rsidRPr="00A96CB5" w:rsidRDefault="00A96CB5" w:rsidP="00DB13E8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A96CB5">
              <w:rPr>
                <w:rFonts w:asciiTheme="minorHAnsi" w:hAnsiTheme="minorHAnsi" w:cstheme="minorHAnsi"/>
                <w:sz w:val="20"/>
                <w:szCs w:val="20"/>
              </w:rPr>
              <w:t>$100.5 million (disbursement until 30 June 2014 $62.8 million)</w:t>
            </w:r>
          </w:p>
        </w:tc>
      </w:tr>
      <w:tr w:rsidR="00A96CB5" w:rsidRPr="00A96CB5" w14:paraId="599E57D2" w14:textId="77777777" w:rsidTr="00DB13E8">
        <w:trPr>
          <w:trHeight w:val="93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9E145" w14:textId="77777777" w:rsidR="00A96CB5" w:rsidRPr="00A96CB5" w:rsidRDefault="00A96CB5" w:rsidP="00DB13E8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6CB5">
              <w:rPr>
                <w:rFonts w:asciiTheme="minorHAnsi" w:hAnsiTheme="minorHAnsi" w:cstheme="minorHAnsi"/>
                <w:sz w:val="20"/>
                <w:szCs w:val="20"/>
              </w:rPr>
              <w:t xml:space="preserve">Total other $ 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3D63A" w14:textId="77777777" w:rsidR="00A96CB5" w:rsidRPr="00A96CB5" w:rsidRDefault="00A96CB5" w:rsidP="00DB13E8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6CB5">
              <w:rPr>
                <w:rFonts w:asciiTheme="minorHAnsi" w:hAnsiTheme="minorHAnsi" w:cstheme="minorHAnsi"/>
                <w:sz w:val="20"/>
                <w:szCs w:val="20"/>
              </w:rPr>
              <w:t xml:space="preserve">N/A </w:t>
            </w:r>
          </w:p>
        </w:tc>
      </w:tr>
      <w:tr w:rsidR="00A96CB5" w:rsidRPr="00A96CB5" w14:paraId="53980880" w14:textId="77777777" w:rsidTr="00DB13E8">
        <w:trPr>
          <w:trHeight w:val="844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EA95" w14:textId="77777777" w:rsidR="00A96CB5" w:rsidRPr="00A96CB5" w:rsidRDefault="00A96CB5" w:rsidP="00DB13E8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6CB5">
              <w:rPr>
                <w:rFonts w:asciiTheme="minorHAnsi" w:hAnsiTheme="minorHAnsi" w:cstheme="minorHAnsi"/>
                <w:sz w:val="20"/>
                <w:szCs w:val="20"/>
              </w:rPr>
              <w:t xml:space="preserve">Delivery organisation(s) 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3210F" w14:textId="77777777" w:rsidR="00A96CB5" w:rsidRPr="00A96CB5" w:rsidRDefault="00A96CB5" w:rsidP="00DB13E8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A96CB5">
              <w:rPr>
                <w:rFonts w:asciiTheme="minorHAnsi" w:hAnsiTheme="minorHAnsi" w:cstheme="minorHAnsi"/>
                <w:sz w:val="20"/>
                <w:szCs w:val="20"/>
              </w:rPr>
              <w:t>The Water and Sanitation Program (WB), UNICEF-WASH, UNICEF-SWA- JMP, The World Health Organisation and the Water Supply and Sanitation Collaborative Council, Asian Development Bank</w:t>
            </w:r>
          </w:p>
        </w:tc>
      </w:tr>
      <w:tr w:rsidR="00A96CB5" w:rsidRPr="00A96CB5" w14:paraId="41B3D5BD" w14:textId="77777777" w:rsidTr="00DB13E8">
        <w:trPr>
          <w:trHeight w:val="208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AFE5B" w14:textId="77777777" w:rsidR="00A96CB5" w:rsidRPr="00A96CB5" w:rsidRDefault="00A96CB5" w:rsidP="00DB13E8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6CB5">
              <w:rPr>
                <w:rFonts w:asciiTheme="minorHAnsi" w:hAnsiTheme="minorHAnsi" w:cstheme="minorHAnsi"/>
                <w:sz w:val="20"/>
                <w:szCs w:val="20"/>
              </w:rPr>
              <w:t xml:space="preserve">Implementing Partner(s) 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C9319" w14:textId="77777777" w:rsidR="00A96CB5" w:rsidRPr="00A96CB5" w:rsidRDefault="00A96CB5" w:rsidP="00DB13E8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6CB5">
              <w:rPr>
                <w:rFonts w:asciiTheme="minorHAnsi" w:hAnsiTheme="minorHAnsi" w:cstheme="minorHAnsi"/>
                <w:sz w:val="20"/>
                <w:szCs w:val="20"/>
              </w:rPr>
              <w:t>The World Bank, UNICEF, The World Health Organization, the Water Supply and Sanitation Collaborative Council, Asian Development Bank</w:t>
            </w:r>
          </w:p>
        </w:tc>
      </w:tr>
      <w:tr w:rsidR="00A96CB5" w:rsidRPr="00A96CB5" w14:paraId="7D51390C" w14:textId="77777777" w:rsidTr="00DB13E8">
        <w:trPr>
          <w:trHeight w:val="93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B7B38" w14:textId="77777777" w:rsidR="00A96CB5" w:rsidRPr="00A96CB5" w:rsidRDefault="00A96CB5" w:rsidP="00DB13E8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6CB5">
              <w:rPr>
                <w:rFonts w:asciiTheme="minorHAnsi" w:hAnsiTheme="minorHAnsi" w:cstheme="minorHAnsi"/>
                <w:sz w:val="20"/>
                <w:szCs w:val="20"/>
              </w:rPr>
              <w:t xml:space="preserve">Country/Region 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2D8BA" w14:textId="7E670A2C" w:rsidR="00A96CB5" w:rsidRPr="00A96CB5" w:rsidRDefault="00A96CB5" w:rsidP="00DB13E8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6CB5">
              <w:rPr>
                <w:rFonts w:asciiTheme="minorHAnsi" w:hAnsiTheme="minorHAnsi" w:cstheme="minorHAnsi"/>
                <w:sz w:val="20"/>
                <w:szCs w:val="20"/>
              </w:rPr>
              <w:t>Global</w:t>
            </w:r>
          </w:p>
        </w:tc>
      </w:tr>
      <w:tr w:rsidR="00A96CB5" w:rsidRPr="00A96CB5" w14:paraId="2D502F56" w14:textId="77777777" w:rsidTr="00DB13E8">
        <w:trPr>
          <w:trHeight w:val="93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68DA0" w14:textId="77777777" w:rsidR="00A96CB5" w:rsidRPr="00A96CB5" w:rsidRDefault="00A96CB5" w:rsidP="00DB13E8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6CB5">
              <w:rPr>
                <w:rFonts w:asciiTheme="minorHAnsi" w:hAnsiTheme="minorHAnsi" w:cstheme="minorHAnsi"/>
                <w:sz w:val="20"/>
                <w:szCs w:val="20"/>
              </w:rPr>
              <w:t xml:space="preserve">Primary Sector 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40E2B" w14:textId="51FE2ECC" w:rsidR="00A96CB5" w:rsidRPr="00A96CB5" w:rsidRDefault="00A96CB5" w:rsidP="00DB13E8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6CB5">
              <w:rPr>
                <w:rFonts w:asciiTheme="minorHAnsi" w:hAnsiTheme="minorHAnsi" w:cstheme="minorHAnsi"/>
                <w:sz w:val="20"/>
                <w:szCs w:val="20"/>
              </w:rPr>
              <w:t>Water, Sanitation and Hygiene</w:t>
            </w:r>
          </w:p>
        </w:tc>
      </w:tr>
    </w:tbl>
    <w:p w14:paraId="56145C12" w14:textId="77777777" w:rsidR="00A96CB5" w:rsidRPr="00A96CB5" w:rsidRDefault="00A96CB5" w:rsidP="00A96CB5">
      <w:pPr>
        <w:rPr>
          <w:rFonts w:asciiTheme="minorHAnsi" w:hAnsiTheme="minorHAnsi" w:cstheme="minorHAnsi"/>
          <w:sz w:val="20"/>
          <w:szCs w:val="20"/>
        </w:rPr>
      </w:pPr>
    </w:p>
    <w:p w14:paraId="3A7FE516" w14:textId="4E374413" w:rsidR="00793545" w:rsidRPr="00537A04" w:rsidRDefault="00793545" w:rsidP="00A96CB5">
      <w:pPr>
        <w:rPr>
          <w:rFonts w:asciiTheme="minorHAnsi" w:hAnsiTheme="minorHAnsi" w:cstheme="minorHAnsi"/>
          <w:sz w:val="20"/>
          <w:szCs w:val="20"/>
        </w:rPr>
      </w:pPr>
      <w:r w:rsidRPr="00537A04">
        <w:rPr>
          <w:rFonts w:asciiTheme="minorHAnsi" w:hAnsiTheme="minorHAnsi" w:cstheme="minorHAnsi"/>
          <w:sz w:val="20"/>
          <w:szCs w:val="20"/>
        </w:rPr>
        <w:t xml:space="preserve">DFAT welcomes the findings of this </w:t>
      </w:r>
      <w:r w:rsidR="00B4325E">
        <w:rPr>
          <w:rFonts w:asciiTheme="minorHAnsi" w:hAnsiTheme="minorHAnsi" w:cstheme="minorHAnsi"/>
          <w:sz w:val="20"/>
          <w:szCs w:val="20"/>
        </w:rPr>
        <w:t>evaluation</w:t>
      </w:r>
      <w:r w:rsidR="00B4325E" w:rsidRPr="00537A04">
        <w:rPr>
          <w:rFonts w:asciiTheme="minorHAnsi" w:hAnsiTheme="minorHAnsi" w:cstheme="minorHAnsi"/>
          <w:sz w:val="20"/>
          <w:szCs w:val="20"/>
        </w:rPr>
        <w:t xml:space="preserve"> </w:t>
      </w:r>
      <w:r w:rsidRPr="00537A04">
        <w:rPr>
          <w:rFonts w:asciiTheme="minorHAnsi" w:hAnsiTheme="minorHAnsi" w:cstheme="minorHAnsi"/>
          <w:sz w:val="20"/>
          <w:szCs w:val="20"/>
        </w:rPr>
        <w:t xml:space="preserve">of the Water and Sanitation Initiative (WSI) Global Program. </w:t>
      </w:r>
      <w:r w:rsidR="00264275" w:rsidRPr="00537A04">
        <w:rPr>
          <w:rFonts w:asciiTheme="minorHAnsi" w:hAnsiTheme="minorHAnsi" w:cstheme="minorHAnsi"/>
          <w:sz w:val="20"/>
          <w:szCs w:val="20"/>
        </w:rPr>
        <w:t>In</w:t>
      </w:r>
      <w:r w:rsidRPr="00537A04">
        <w:rPr>
          <w:rFonts w:asciiTheme="minorHAnsi" w:hAnsiTheme="minorHAnsi" w:cstheme="minorHAnsi"/>
          <w:sz w:val="20"/>
          <w:szCs w:val="20"/>
        </w:rPr>
        <w:t xml:space="preserve"> the government’s development policy, </w:t>
      </w:r>
      <w:r w:rsidRPr="00537A04">
        <w:rPr>
          <w:rFonts w:asciiTheme="minorHAnsi" w:hAnsiTheme="minorHAnsi" w:cstheme="minorHAnsi"/>
          <w:i/>
          <w:sz w:val="20"/>
          <w:szCs w:val="20"/>
        </w:rPr>
        <w:t>Australian aid: promoting prosperity, reducing poverty, enhancing stability</w:t>
      </w:r>
      <w:r w:rsidRPr="00537A04">
        <w:rPr>
          <w:rFonts w:asciiTheme="minorHAnsi" w:hAnsiTheme="minorHAnsi" w:cstheme="minorHAnsi"/>
          <w:sz w:val="20"/>
          <w:szCs w:val="20"/>
        </w:rPr>
        <w:t xml:space="preserve">, DFAT aims to deliver an aid program that is innovative, promotes learning and influences partners to scale up successful models. </w:t>
      </w:r>
      <w:r w:rsidR="00B4325E" w:rsidRPr="00537A04">
        <w:rPr>
          <w:rFonts w:asciiTheme="minorHAnsi" w:hAnsiTheme="minorHAnsi" w:cstheme="minorHAnsi"/>
          <w:sz w:val="20"/>
          <w:szCs w:val="20"/>
        </w:rPr>
        <w:t>DFAT’s health and economic infrastructure strategies focus particularly on regional health security challenges in the Asia</w:t>
      </w:r>
      <w:r w:rsidR="00B4325E">
        <w:rPr>
          <w:rFonts w:asciiTheme="minorHAnsi" w:hAnsiTheme="minorHAnsi" w:cstheme="minorHAnsi"/>
          <w:sz w:val="20"/>
          <w:szCs w:val="20"/>
        </w:rPr>
        <w:t>-</w:t>
      </w:r>
      <w:r w:rsidR="00B4325E" w:rsidRPr="00537A04">
        <w:rPr>
          <w:rFonts w:asciiTheme="minorHAnsi" w:hAnsiTheme="minorHAnsi" w:cstheme="minorHAnsi"/>
          <w:sz w:val="20"/>
          <w:szCs w:val="20"/>
        </w:rPr>
        <w:t>Pacific region, improved public health outcomes, private sector engagement including mobilising financing</w:t>
      </w:r>
      <w:r w:rsidR="00B4325E">
        <w:rPr>
          <w:rFonts w:asciiTheme="minorHAnsi" w:hAnsiTheme="minorHAnsi" w:cstheme="minorHAnsi"/>
          <w:sz w:val="20"/>
          <w:szCs w:val="20"/>
        </w:rPr>
        <w:t>,</w:t>
      </w:r>
      <w:r w:rsidR="00B4325E" w:rsidRPr="00537A04">
        <w:rPr>
          <w:rFonts w:asciiTheme="minorHAnsi" w:hAnsiTheme="minorHAnsi" w:cstheme="minorHAnsi"/>
          <w:sz w:val="20"/>
          <w:szCs w:val="20"/>
        </w:rPr>
        <w:t xml:space="preserve"> and promoting women’s participation and empowerment. </w:t>
      </w:r>
      <w:r w:rsidR="005B16E4" w:rsidRPr="00A96CB5">
        <w:rPr>
          <w:rFonts w:asciiTheme="minorHAnsi" w:hAnsiTheme="minorHAnsi" w:cstheme="minorHAnsi"/>
          <w:sz w:val="20"/>
          <w:szCs w:val="20"/>
        </w:rPr>
        <w:t xml:space="preserve">We </w:t>
      </w:r>
      <w:r w:rsidR="00A96CB5" w:rsidRPr="00A96CB5">
        <w:rPr>
          <w:rFonts w:asciiTheme="minorHAnsi" w:hAnsiTheme="minorHAnsi" w:cstheme="minorHAnsi"/>
          <w:sz w:val="20"/>
          <w:szCs w:val="20"/>
        </w:rPr>
        <w:t>welcome</w:t>
      </w:r>
      <w:r w:rsidR="00AB3AE9" w:rsidRPr="00A96CB5">
        <w:rPr>
          <w:rFonts w:asciiTheme="minorHAnsi" w:hAnsiTheme="minorHAnsi" w:cstheme="minorHAnsi"/>
          <w:sz w:val="20"/>
          <w:szCs w:val="20"/>
        </w:rPr>
        <w:t xml:space="preserve"> the review findings</w:t>
      </w:r>
      <w:r w:rsidR="004B4BED" w:rsidRPr="00537A04">
        <w:rPr>
          <w:rFonts w:asciiTheme="minorHAnsi" w:hAnsiTheme="minorHAnsi" w:cstheme="minorHAnsi"/>
          <w:sz w:val="20"/>
          <w:szCs w:val="20"/>
        </w:rPr>
        <w:t xml:space="preserve"> that the </w:t>
      </w:r>
      <w:r w:rsidR="00264275" w:rsidRPr="00537A04">
        <w:rPr>
          <w:rFonts w:asciiTheme="minorHAnsi" w:hAnsiTheme="minorHAnsi" w:cstheme="minorHAnsi"/>
          <w:sz w:val="20"/>
          <w:szCs w:val="20"/>
        </w:rPr>
        <w:t>WSI Global P</w:t>
      </w:r>
      <w:r w:rsidR="004B4BED" w:rsidRPr="00537A04">
        <w:rPr>
          <w:rFonts w:asciiTheme="minorHAnsi" w:hAnsiTheme="minorHAnsi" w:cstheme="minorHAnsi"/>
          <w:sz w:val="20"/>
          <w:szCs w:val="20"/>
        </w:rPr>
        <w:t>rogram is well balanced to meet the</w:t>
      </w:r>
      <w:r w:rsidR="008740B2">
        <w:rPr>
          <w:rFonts w:asciiTheme="minorHAnsi" w:hAnsiTheme="minorHAnsi" w:cstheme="minorHAnsi"/>
          <w:sz w:val="20"/>
          <w:szCs w:val="20"/>
        </w:rPr>
        <w:t>se</w:t>
      </w:r>
      <w:r w:rsidR="004B4BED" w:rsidRPr="00537A04">
        <w:rPr>
          <w:rFonts w:asciiTheme="minorHAnsi" w:hAnsiTheme="minorHAnsi" w:cstheme="minorHAnsi"/>
          <w:sz w:val="20"/>
          <w:szCs w:val="20"/>
        </w:rPr>
        <w:t xml:space="preserve"> objectives and </w:t>
      </w:r>
      <w:r w:rsidR="00B4325E">
        <w:rPr>
          <w:rFonts w:asciiTheme="minorHAnsi" w:hAnsiTheme="minorHAnsi" w:cstheme="minorHAnsi"/>
          <w:sz w:val="20"/>
          <w:szCs w:val="20"/>
        </w:rPr>
        <w:t xml:space="preserve">that </w:t>
      </w:r>
      <w:r w:rsidR="004B4BED" w:rsidRPr="00537A04">
        <w:rPr>
          <w:rFonts w:asciiTheme="minorHAnsi" w:hAnsiTheme="minorHAnsi" w:cstheme="minorHAnsi"/>
          <w:sz w:val="20"/>
          <w:szCs w:val="20"/>
        </w:rPr>
        <w:t>several of the partnerships</w:t>
      </w:r>
      <w:r w:rsidR="008740B2">
        <w:rPr>
          <w:rFonts w:asciiTheme="minorHAnsi" w:hAnsiTheme="minorHAnsi" w:cstheme="minorHAnsi"/>
          <w:sz w:val="20"/>
          <w:szCs w:val="20"/>
        </w:rPr>
        <w:t xml:space="preserve"> are</w:t>
      </w:r>
      <w:r w:rsidR="004B4BED" w:rsidRPr="00537A04">
        <w:rPr>
          <w:rFonts w:asciiTheme="minorHAnsi" w:hAnsiTheme="minorHAnsi" w:cstheme="minorHAnsi"/>
          <w:sz w:val="20"/>
          <w:szCs w:val="20"/>
        </w:rPr>
        <w:t xml:space="preserve"> well placed to</w:t>
      </w:r>
      <w:r w:rsidR="00B4325E">
        <w:rPr>
          <w:rFonts w:asciiTheme="minorHAnsi" w:hAnsiTheme="minorHAnsi" w:cstheme="minorHAnsi"/>
          <w:sz w:val="20"/>
          <w:szCs w:val="20"/>
        </w:rPr>
        <w:t xml:space="preserve"> effectively</w:t>
      </w:r>
      <w:r w:rsidR="004B4BED" w:rsidRPr="00537A04">
        <w:rPr>
          <w:rFonts w:asciiTheme="minorHAnsi" w:hAnsiTheme="minorHAnsi" w:cstheme="minorHAnsi"/>
          <w:sz w:val="20"/>
          <w:szCs w:val="20"/>
        </w:rPr>
        <w:t xml:space="preserve"> promote aid program priorities.</w:t>
      </w:r>
    </w:p>
    <w:p w14:paraId="57845A94" w14:textId="77777777" w:rsidR="009C4AB3" w:rsidRPr="00537A04" w:rsidRDefault="009C4AB3" w:rsidP="00A96CB5">
      <w:pPr>
        <w:rPr>
          <w:rFonts w:asciiTheme="minorHAnsi" w:hAnsiTheme="minorHAnsi" w:cstheme="minorHAnsi"/>
          <w:sz w:val="20"/>
          <w:szCs w:val="20"/>
        </w:rPr>
      </w:pPr>
    </w:p>
    <w:p w14:paraId="4B219479" w14:textId="7FB6C4FE" w:rsidR="005B16E4" w:rsidRPr="00A96CB5" w:rsidRDefault="00B4325E" w:rsidP="00A96CB5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DFAT’s detailed response to the evaluation recommendations is attached.</w:t>
      </w:r>
    </w:p>
    <w:p w14:paraId="21031AC5" w14:textId="77777777" w:rsidR="00602825" w:rsidRPr="00537A04" w:rsidRDefault="00602825" w:rsidP="00A96CB5">
      <w:pPr>
        <w:rPr>
          <w:rFonts w:asciiTheme="minorHAnsi" w:hAnsiTheme="minorHAnsi" w:cstheme="minorHAnsi"/>
          <w:sz w:val="20"/>
          <w:szCs w:val="20"/>
          <w:highlight w:val="yellow"/>
        </w:rPr>
      </w:pPr>
      <w:r w:rsidRPr="00537A04">
        <w:rPr>
          <w:rFonts w:asciiTheme="minorHAnsi" w:hAnsiTheme="minorHAnsi" w:cstheme="minorHAnsi"/>
          <w:sz w:val="20"/>
          <w:szCs w:val="20"/>
          <w:highlight w:val="yellow"/>
        </w:rPr>
        <w:br w:type="page"/>
      </w:r>
    </w:p>
    <w:p w14:paraId="0F26CE09" w14:textId="77777777" w:rsidR="00602825" w:rsidRPr="00F841C2" w:rsidRDefault="00722525" w:rsidP="00A96CB5">
      <w:pPr>
        <w:pStyle w:val="ListParagraph"/>
        <w:rPr>
          <w:rStyle w:val="Strong"/>
          <w:rFonts w:asciiTheme="minorHAnsi" w:hAnsiTheme="minorHAnsi" w:cstheme="minorHAnsi"/>
          <w:sz w:val="24"/>
          <w:szCs w:val="20"/>
        </w:rPr>
      </w:pPr>
      <w:r w:rsidRPr="00A96CB5">
        <w:rPr>
          <w:rStyle w:val="Strong"/>
          <w:rFonts w:asciiTheme="minorHAnsi" w:hAnsiTheme="minorHAnsi" w:cstheme="minorHAnsi"/>
          <w:sz w:val="24"/>
          <w:szCs w:val="20"/>
        </w:rPr>
        <w:lastRenderedPageBreak/>
        <w:t xml:space="preserve">DFAT </w:t>
      </w:r>
      <w:r w:rsidR="00602825" w:rsidRPr="00A96CB5">
        <w:rPr>
          <w:rStyle w:val="Strong"/>
          <w:rFonts w:asciiTheme="minorHAnsi" w:hAnsiTheme="minorHAnsi" w:cstheme="minorHAnsi"/>
          <w:sz w:val="24"/>
          <w:szCs w:val="20"/>
        </w:rPr>
        <w:t>Response to Evaluation Recommendations</w:t>
      </w:r>
    </w:p>
    <w:p w14:paraId="5EBAFA45" w14:textId="77777777" w:rsidR="00602825" w:rsidRPr="00537A04" w:rsidRDefault="00602825" w:rsidP="00A96CB5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9464" w:type="dxa"/>
        <w:shd w:val="clear" w:color="auto" w:fill="E8E9F3"/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4961"/>
      </w:tblGrid>
      <w:tr w:rsidR="00602825" w:rsidRPr="00537A04" w14:paraId="68CA6F7E" w14:textId="77777777" w:rsidTr="00A96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202273" w14:textId="77777777" w:rsidR="00602825" w:rsidRPr="00537A04" w:rsidRDefault="00602825" w:rsidP="00A96CB5">
            <w:pPr>
              <w:pStyle w:val="Table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7A04">
              <w:rPr>
                <w:rFonts w:asciiTheme="minorHAnsi" w:hAnsiTheme="minorHAnsi" w:cstheme="minorHAnsi"/>
                <w:b/>
                <w:sz w:val="20"/>
                <w:szCs w:val="20"/>
              </w:rPr>
              <w:t>Evaluation Recommendations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67981" w14:textId="77777777" w:rsidR="00602825" w:rsidRPr="00537A04" w:rsidRDefault="00602825" w:rsidP="00A96CB5">
            <w:pPr>
              <w:pStyle w:val="TableText"/>
              <w:ind w:right="-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004101" w14:textId="77777777" w:rsidR="00602825" w:rsidRPr="008740B2" w:rsidRDefault="00602825">
            <w:pPr>
              <w:pStyle w:val="TableTex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740B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DFAT assessment informed by Evaluation Report</w:t>
            </w:r>
          </w:p>
        </w:tc>
      </w:tr>
      <w:tr w:rsidR="001F10E3" w:rsidRPr="00537A04" w14:paraId="083D6311" w14:textId="77777777" w:rsidTr="00A96CB5">
        <w:trPr>
          <w:cantSplit/>
          <w:trHeight w:val="1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243474" w14:textId="77777777" w:rsidR="001F10E3" w:rsidRPr="00537A04" w:rsidRDefault="001F10E3" w:rsidP="00A96CB5">
            <w:pPr>
              <w:pStyle w:val="TableText"/>
              <w:ind w:right="-284"/>
              <w:rPr>
                <w:rFonts w:asciiTheme="minorHAnsi" w:hAnsiTheme="minorHAnsi" w:cstheme="minorHAnsi"/>
                <w:sz w:val="20"/>
                <w:szCs w:val="20"/>
              </w:rPr>
            </w:pPr>
            <w:r w:rsidRPr="00537A04">
              <w:rPr>
                <w:rFonts w:asciiTheme="minorHAnsi" w:hAnsiTheme="minorHAnsi" w:cstheme="minorHAnsi"/>
                <w:b/>
                <w:sz w:val="20"/>
                <w:szCs w:val="20"/>
              </w:rPr>
              <w:t>Recommendation 1</w:t>
            </w:r>
            <w:r w:rsidR="00537A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537A04">
              <w:rPr>
                <w:rFonts w:asciiTheme="minorHAnsi" w:hAnsiTheme="minorHAnsi" w:cstheme="minorHAnsi"/>
                <w:b/>
                <w:sz w:val="20"/>
                <w:szCs w:val="20"/>
              </w:rPr>
              <w:t>DFAT prioritises support as follows: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FD0D66" w14:textId="77777777" w:rsidR="001F10E3" w:rsidRPr="00537A04" w:rsidRDefault="001F10E3" w:rsidP="00A96CB5">
            <w:pPr>
              <w:pStyle w:val="TableText"/>
              <w:ind w:right="-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F7D1ED" w14:textId="6A63F1BF" w:rsidR="001F10E3" w:rsidRPr="00537A04" w:rsidRDefault="001F10E3">
            <w:pPr>
              <w:pStyle w:val="TableTex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602825" w:rsidRPr="00537A04" w14:paraId="70E2BD10" w14:textId="77777777" w:rsidTr="00A96CB5">
        <w:trPr>
          <w:cantSplit/>
          <w:trHeight w:val="151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0E4138" w14:textId="77777777" w:rsidR="00602825" w:rsidRPr="00537A04" w:rsidRDefault="00602825" w:rsidP="00A96CB5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before="0" w:line="276" w:lineRule="auto"/>
              <w:ind w:left="567" w:right="-108" w:hanging="283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537A04">
              <w:rPr>
                <w:rFonts w:asciiTheme="minorHAnsi" w:hAnsiTheme="minorHAnsi" w:cstheme="minorHAnsi"/>
                <w:szCs w:val="20"/>
              </w:rPr>
              <w:t>Continue funding WSP with alignment to the Indo-Pacific region and fragile states.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E8C41A" w14:textId="5AFAC217" w:rsidR="00602825" w:rsidRPr="00537A04" w:rsidRDefault="00602825" w:rsidP="00A96CB5">
            <w:pPr>
              <w:pStyle w:val="TableText"/>
              <w:ind w:right="-44"/>
              <w:rPr>
                <w:rFonts w:asciiTheme="minorHAnsi" w:hAnsiTheme="minorHAnsi" w:cstheme="minorHAnsi"/>
                <w:sz w:val="20"/>
                <w:szCs w:val="20"/>
              </w:rPr>
            </w:pPr>
            <w:r w:rsidRPr="00537A04">
              <w:rPr>
                <w:rFonts w:asciiTheme="minorHAnsi" w:hAnsiTheme="minorHAnsi" w:cstheme="minorHAnsi"/>
                <w:sz w:val="20"/>
                <w:szCs w:val="20"/>
              </w:rPr>
              <w:t>Agree</w:t>
            </w:r>
            <w:r w:rsidR="00B4325E">
              <w:rPr>
                <w:rFonts w:asciiTheme="minorHAnsi" w:hAnsiTheme="minorHAnsi" w:cstheme="minorHAnsi"/>
                <w:sz w:val="20"/>
                <w:szCs w:val="20"/>
              </w:rPr>
              <w:t xml:space="preserve"> in principle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D3F174" w14:textId="7F205546" w:rsidR="00602825" w:rsidRPr="00537A04" w:rsidRDefault="00711896">
            <w:pPr>
              <w:pStyle w:val="TableTex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DFAT intends to </w:t>
            </w:r>
            <w:r w:rsidRPr="00537A0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continue engagement with </w:t>
            </w:r>
            <w:r w:rsidR="00A96CB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the </w:t>
            </w:r>
            <w:r w:rsidR="00F841C2">
              <w:rPr>
                <w:rFonts w:asciiTheme="minorHAnsi" w:eastAsia="Calibri" w:hAnsiTheme="minorHAnsi" w:cstheme="minorHAnsi"/>
                <w:sz w:val="20"/>
                <w:szCs w:val="20"/>
              </w:rPr>
              <w:t>Water and Sanitation Program (</w:t>
            </w:r>
            <w:r w:rsidRPr="00A96CB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WSP</w:t>
            </w:r>
            <w:r w:rsidR="00F841C2">
              <w:rPr>
                <w:rFonts w:asciiTheme="minorHAnsi" w:eastAsia="Calibr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602825" w:rsidRPr="00537A0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given </w:t>
            </w:r>
            <w:r w:rsidR="00143B98">
              <w:rPr>
                <w:rFonts w:asciiTheme="minorHAnsi" w:eastAsia="Calibri" w:hAnsiTheme="minorHAnsi" w:cstheme="minorHAnsi"/>
                <w:sz w:val="20"/>
                <w:szCs w:val="20"/>
              </w:rPr>
              <w:t>its</w:t>
            </w:r>
            <w:r w:rsidR="00143B98" w:rsidRPr="00537A0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1F10E3" w:rsidRPr="00537A04">
              <w:rPr>
                <w:rFonts w:asciiTheme="minorHAnsi" w:eastAsia="Calibri" w:hAnsiTheme="minorHAnsi" w:cstheme="minorHAnsi"/>
                <w:sz w:val="20"/>
                <w:szCs w:val="20"/>
              </w:rPr>
              <w:t>focus</w:t>
            </w:r>
            <w:r w:rsidR="00602825" w:rsidRPr="00537A0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on strengthen</w:t>
            </w:r>
            <w:r w:rsidR="005C61CB">
              <w:rPr>
                <w:rFonts w:asciiTheme="minorHAnsi" w:eastAsia="Calibri" w:hAnsiTheme="minorHAnsi" w:cstheme="minorHAnsi"/>
                <w:sz w:val="20"/>
                <w:szCs w:val="20"/>
              </w:rPr>
              <w:t>ing</w:t>
            </w:r>
            <w:r w:rsidR="00602825" w:rsidRPr="00537A0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policy and institutions to respond to critical issues affecting the delivery of water and sanitation services and hygiene promotion. </w:t>
            </w:r>
            <w:r w:rsidR="005C61C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The </w:t>
            </w:r>
            <w:r w:rsidR="00602825" w:rsidRPr="00537A04">
              <w:rPr>
                <w:rFonts w:asciiTheme="minorHAnsi" w:eastAsia="Calibri" w:hAnsiTheme="minorHAnsi" w:cstheme="minorHAnsi"/>
                <w:sz w:val="20"/>
                <w:szCs w:val="20"/>
              </w:rPr>
              <w:t>WSP</w:t>
            </w:r>
            <w:r w:rsidR="007E25C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602825" w:rsidRPr="00537A0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has a </w:t>
            </w:r>
            <w:r w:rsidR="001F10E3" w:rsidRPr="00537A04">
              <w:rPr>
                <w:rFonts w:asciiTheme="minorHAnsi" w:eastAsia="Calibri" w:hAnsiTheme="minorHAnsi" w:cstheme="minorHAnsi"/>
                <w:sz w:val="20"/>
                <w:szCs w:val="20"/>
              </w:rPr>
              <w:t>strong</w:t>
            </w:r>
            <w:r w:rsidR="00602825" w:rsidRPr="00537A0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focus on </w:t>
            </w:r>
            <w:r w:rsidR="008740B2" w:rsidRPr="00537A04">
              <w:rPr>
                <w:rFonts w:asciiTheme="minorHAnsi" w:eastAsia="Calibri" w:hAnsiTheme="minorHAnsi" w:cstheme="minorHAnsi"/>
                <w:sz w:val="20"/>
                <w:szCs w:val="20"/>
              </w:rPr>
              <w:t>South</w:t>
            </w:r>
            <w:r w:rsidR="008740B2">
              <w:rPr>
                <w:rFonts w:asciiTheme="minorHAnsi" w:eastAsia="Calibri" w:hAnsiTheme="minorHAnsi" w:cstheme="minorHAnsi"/>
                <w:sz w:val="20"/>
                <w:szCs w:val="20"/>
              </w:rPr>
              <w:t>-</w:t>
            </w:r>
            <w:r w:rsidR="00602825" w:rsidRPr="00537A0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East Asia, South Asia and has expanded </w:t>
            </w:r>
            <w:r w:rsidR="00143B9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its </w:t>
            </w:r>
            <w:r w:rsidR="00602825" w:rsidRPr="00537A04">
              <w:rPr>
                <w:rFonts w:asciiTheme="minorHAnsi" w:eastAsia="Calibri" w:hAnsiTheme="minorHAnsi" w:cstheme="minorHAnsi"/>
                <w:sz w:val="20"/>
                <w:szCs w:val="20"/>
              </w:rPr>
              <w:t>work in the Pacific.</w:t>
            </w:r>
            <w:r w:rsidR="00AB3AE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143B98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B4325E">
              <w:rPr>
                <w:rFonts w:asciiTheme="minorHAnsi" w:hAnsiTheme="minorHAnsi" w:cstheme="minorHAnsi"/>
                <w:sz w:val="20"/>
                <w:szCs w:val="20"/>
              </w:rPr>
              <w:t>ommitment of funding will depend on aid budget outcomes.</w:t>
            </w:r>
          </w:p>
        </w:tc>
      </w:tr>
      <w:tr w:rsidR="00602825" w:rsidRPr="00537A04" w14:paraId="4C4B1B74" w14:textId="77777777" w:rsidTr="00A96CB5">
        <w:trPr>
          <w:cantSplit/>
          <w:trHeight w:val="153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7C0B6B" w14:textId="77777777" w:rsidR="00602825" w:rsidRPr="00537A04" w:rsidRDefault="00602825" w:rsidP="00A96CB5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before="0" w:line="276" w:lineRule="auto"/>
              <w:ind w:left="567" w:right="-108" w:hanging="283"/>
              <w:textAlignment w:val="baseline"/>
              <w:rPr>
                <w:rFonts w:asciiTheme="minorHAnsi" w:hAnsiTheme="minorHAnsi" w:cstheme="minorHAnsi"/>
                <w:b/>
                <w:szCs w:val="20"/>
              </w:rPr>
            </w:pPr>
            <w:r w:rsidRPr="00537A04">
              <w:rPr>
                <w:rFonts w:asciiTheme="minorHAnsi" w:hAnsiTheme="minorHAnsi" w:cstheme="minorHAnsi"/>
                <w:szCs w:val="20"/>
              </w:rPr>
              <w:t>Continue funding the WHO-WQP, at least to the end of phase 3 and possibly for a further phase provided a set of credible exit plans are developed</w:t>
            </w:r>
            <w:r w:rsidR="00A00642" w:rsidRPr="00537A04">
              <w:rPr>
                <w:rFonts w:asciiTheme="minorHAnsi" w:hAnsiTheme="minorHAnsi" w:cstheme="minorHAnsi"/>
                <w:szCs w:val="20"/>
              </w:rPr>
              <w:t xml:space="preserve"> for each country/intervention.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CEE468" w14:textId="167462FB" w:rsidR="00602825" w:rsidRPr="00537A04" w:rsidRDefault="00B4325E" w:rsidP="00A96CB5">
            <w:pPr>
              <w:pStyle w:val="TableText"/>
              <w:ind w:right="-4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02825" w:rsidRPr="00537A04">
              <w:rPr>
                <w:rFonts w:asciiTheme="minorHAnsi" w:hAnsiTheme="minorHAnsi" w:cstheme="minorHAnsi"/>
                <w:sz w:val="20"/>
                <w:szCs w:val="20"/>
              </w:rPr>
              <w:t>gree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 principle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9806D5" w14:textId="0634A45D" w:rsidR="00602825" w:rsidRPr="00537A04" w:rsidRDefault="00602825">
            <w:pPr>
              <w:pStyle w:val="TableTex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7A04">
              <w:rPr>
                <w:rFonts w:asciiTheme="minorHAnsi" w:eastAsia="Calibri" w:hAnsiTheme="minorHAnsi" w:cstheme="minorHAnsi"/>
                <w:sz w:val="20"/>
                <w:szCs w:val="20"/>
              </w:rPr>
              <w:t>While the WHO-</w:t>
            </w:r>
            <w:r w:rsidR="00F841C2">
              <w:rPr>
                <w:rFonts w:asciiTheme="minorHAnsi" w:eastAsia="Calibri" w:hAnsiTheme="minorHAnsi" w:cstheme="minorHAnsi"/>
                <w:sz w:val="20"/>
                <w:szCs w:val="20"/>
              </w:rPr>
              <w:t>Water Quality Partnership (</w:t>
            </w:r>
            <w:r w:rsidR="00F841C2" w:rsidRPr="00A96CB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WQP</w:t>
            </w:r>
            <w:r w:rsidR="00F841C2">
              <w:rPr>
                <w:rFonts w:asciiTheme="minorHAnsi" w:eastAsia="Calibri" w:hAnsiTheme="minorHAnsi" w:cstheme="minorHAnsi"/>
                <w:sz w:val="20"/>
                <w:szCs w:val="20"/>
              </w:rPr>
              <w:t>)</w:t>
            </w:r>
            <w:r w:rsidRPr="00537A0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has produced some good results, continuation of funding will depend on </w:t>
            </w:r>
            <w:r w:rsidR="00B4325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aid </w:t>
            </w:r>
            <w:r w:rsidRPr="00537A0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budget </w:t>
            </w:r>
            <w:r w:rsidR="007E25C0">
              <w:rPr>
                <w:rFonts w:asciiTheme="minorHAnsi" w:eastAsia="Calibri" w:hAnsiTheme="minorHAnsi" w:cstheme="minorHAnsi"/>
                <w:sz w:val="20"/>
                <w:szCs w:val="20"/>
              </w:rPr>
              <w:t>outcomes</w:t>
            </w:r>
            <w:r w:rsidRPr="00537A04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</w:tc>
      </w:tr>
      <w:tr w:rsidR="00602825" w:rsidRPr="00537A04" w14:paraId="4C7E4C42" w14:textId="77777777" w:rsidTr="00A96CB5">
        <w:trPr>
          <w:cantSplit/>
          <w:trHeight w:val="206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691791" w14:textId="77777777" w:rsidR="00602825" w:rsidRPr="00537A04" w:rsidRDefault="00602825" w:rsidP="00A96CB5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before="0" w:line="276" w:lineRule="auto"/>
              <w:ind w:left="567" w:right="-108" w:hanging="283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537A04">
              <w:rPr>
                <w:rFonts w:asciiTheme="minorHAnsi" w:hAnsiTheme="minorHAnsi" w:cstheme="minorHAnsi"/>
                <w:szCs w:val="20"/>
              </w:rPr>
              <w:t>Gradually reduce the funding to GSF in favour of increasing funding to the global advocacy and knowledge management taking advantage of the WSSCC network.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9FB20" w14:textId="58046CE5" w:rsidR="00602825" w:rsidRPr="00537A04" w:rsidRDefault="00602825" w:rsidP="00A96CB5">
            <w:pPr>
              <w:pStyle w:val="TableText"/>
              <w:ind w:right="-44"/>
              <w:rPr>
                <w:rFonts w:asciiTheme="minorHAnsi" w:hAnsiTheme="minorHAnsi" w:cstheme="minorHAnsi"/>
                <w:sz w:val="20"/>
                <w:szCs w:val="20"/>
              </w:rPr>
            </w:pPr>
            <w:r w:rsidRPr="00537A04">
              <w:rPr>
                <w:rFonts w:asciiTheme="minorHAnsi" w:hAnsiTheme="minorHAnsi" w:cstheme="minorHAnsi"/>
                <w:sz w:val="20"/>
                <w:szCs w:val="20"/>
              </w:rPr>
              <w:t>Agree</w:t>
            </w:r>
            <w:r w:rsidR="00B4325E">
              <w:rPr>
                <w:rFonts w:asciiTheme="minorHAnsi" w:hAnsiTheme="minorHAnsi" w:cstheme="minorHAnsi"/>
                <w:sz w:val="20"/>
                <w:szCs w:val="20"/>
              </w:rPr>
              <w:t xml:space="preserve"> in principle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C9EC62" w14:textId="393B5FD9" w:rsidR="00602825" w:rsidRPr="00537A04" w:rsidRDefault="00602825">
            <w:pPr>
              <w:pStyle w:val="TableTex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B67B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DFAT intends to continue engagement with </w:t>
            </w:r>
            <w:r w:rsidR="00A96CB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the </w:t>
            </w:r>
            <w:r w:rsidR="00F841C2">
              <w:rPr>
                <w:rFonts w:asciiTheme="minorHAnsi" w:eastAsia="Calibri" w:hAnsiTheme="minorHAnsi" w:cstheme="minorHAnsi"/>
                <w:sz w:val="20"/>
                <w:szCs w:val="20"/>
              </w:rPr>
              <w:t>Water Supply and Sanitation Collaborative Council (</w:t>
            </w:r>
            <w:r w:rsidRPr="00A96CB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WSSCC</w:t>
            </w:r>
            <w:r w:rsidR="00F841C2">
              <w:rPr>
                <w:rFonts w:asciiTheme="minorHAnsi" w:eastAsia="Calibri" w:hAnsiTheme="minorHAnsi" w:cstheme="minorHAnsi"/>
                <w:sz w:val="20"/>
                <w:szCs w:val="20"/>
              </w:rPr>
              <w:t>)</w:t>
            </w:r>
            <w:r w:rsidR="00DB67B9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,</w:t>
            </w:r>
            <w:r w:rsidRPr="00DB67B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B4325E">
              <w:rPr>
                <w:rFonts w:asciiTheme="minorHAnsi" w:eastAsia="Calibri" w:hAnsiTheme="minorHAnsi" w:cstheme="minorHAnsi"/>
                <w:sz w:val="20"/>
                <w:szCs w:val="20"/>
              </w:rPr>
              <w:t>with</w:t>
            </w:r>
            <w:r w:rsidRPr="00DB67B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 focus on WASH-health linkages</w:t>
            </w:r>
            <w:r w:rsidR="00D062B0" w:rsidRPr="00DB67B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801E13" w:rsidRPr="00DB67B9">
              <w:rPr>
                <w:rFonts w:asciiTheme="minorHAnsi" w:eastAsia="Calibri" w:hAnsiTheme="minorHAnsi" w:cstheme="minorHAnsi"/>
                <w:sz w:val="20"/>
                <w:szCs w:val="20"/>
              </w:rPr>
              <w:t>and gender equity</w:t>
            </w:r>
            <w:r w:rsidRPr="00DB67B9">
              <w:rPr>
                <w:rFonts w:asciiTheme="minorHAnsi" w:eastAsia="Calibri" w:hAnsiTheme="minorHAnsi" w:cstheme="minorHAnsi"/>
                <w:sz w:val="20"/>
                <w:szCs w:val="20"/>
              </w:rPr>
              <w:t>, particularly issues of menstrual hygiene management and hand washing for women and girls</w:t>
            </w:r>
            <w:r w:rsidR="00D062B0" w:rsidRPr="00DB67B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 </w:t>
            </w:r>
            <w:r w:rsidRPr="00DB67B9">
              <w:rPr>
                <w:rFonts w:asciiTheme="minorHAnsi" w:eastAsia="Calibri" w:hAnsiTheme="minorHAnsi" w:cstheme="minorHAnsi"/>
                <w:sz w:val="20"/>
                <w:szCs w:val="20"/>
              </w:rPr>
              <w:t>WSSCC also works to stimulate</w:t>
            </w:r>
            <w:r w:rsidR="00C442E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the</w:t>
            </w:r>
            <w:r w:rsidRPr="00DB67B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local private sector.</w:t>
            </w:r>
            <w:r w:rsidR="00A00642" w:rsidRPr="00DB67B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B4325E">
              <w:rPr>
                <w:rFonts w:asciiTheme="minorHAnsi" w:eastAsia="Calibri" w:hAnsiTheme="minorHAnsi" w:cstheme="minorHAnsi"/>
                <w:sz w:val="20"/>
                <w:szCs w:val="20"/>
              </w:rPr>
              <w:t>Subject to aid budget outcomes, p</w:t>
            </w:r>
            <w:r w:rsidR="00A00642" w:rsidRPr="00DB67B9">
              <w:rPr>
                <w:rFonts w:asciiTheme="minorHAnsi" w:eastAsia="Calibri" w:hAnsiTheme="minorHAnsi" w:cstheme="minorHAnsi"/>
                <w:sz w:val="20"/>
                <w:szCs w:val="20"/>
              </w:rPr>
              <w:t>ossible future DFAT funding will target advocacy and knowledge management</w:t>
            </w:r>
            <w:r w:rsidR="00801E13" w:rsidRPr="00DB67B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and promote the</w:t>
            </w:r>
            <w:r w:rsidR="00D2263B" w:rsidRPr="00DB67B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application of knowledge products in the </w:t>
            </w:r>
            <w:r w:rsidR="005C61CB" w:rsidRPr="00DB67B9">
              <w:rPr>
                <w:rFonts w:asciiTheme="minorHAnsi" w:eastAsia="Calibri" w:hAnsiTheme="minorHAnsi" w:cstheme="minorHAnsi"/>
                <w:sz w:val="20"/>
                <w:szCs w:val="20"/>
              </w:rPr>
              <w:t>Asia</w:t>
            </w:r>
            <w:r w:rsidR="005C61CB">
              <w:rPr>
                <w:rFonts w:asciiTheme="minorHAnsi" w:eastAsia="Calibri" w:hAnsiTheme="minorHAnsi" w:cstheme="minorHAnsi"/>
                <w:sz w:val="20"/>
                <w:szCs w:val="20"/>
              </w:rPr>
              <w:t>-</w:t>
            </w:r>
            <w:r w:rsidR="00D2263B" w:rsidRPr="00DB67B9">
              <w:rPr>
                <w:rFonts w:asciiTheme="minorHAnsi" w:eastAsia="Calibri" w:hAnsiTheme="minorHAnsi" w:cstheme="minorHAnsi"/>
                <w:sz w:val="20"/>
                <w:szCs w:val="20"/>
              </w:rPr>
              <w:t>Pacific region</w:t>
            </w:r>
            <w:r w:rsidR="00A00642" w:rsidRPr="00DB67B9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</w:tc>
      </w:tr>
      <w:tr w:rsidR="00F841C2" w:rsidRPr="00537A04" w14:paraId="7A8047CF" w14:textId="77777777" w:rsidTr="00A96CB5">
        <w:trPr>
          <w:cantSplit/>
          <w:trHeight w:val="56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DC7424" w14:textId="77777777" w:rsidR="00F841C2" w:rsidRPr="00537A04" w:rsidRDefault="00F841C2" w:rsidP="00F841C2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before="0" w:line="276" w:lineRule="auto"/>
              <w:ind w:left="567" w:right="-108" w:hanging="283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537A04">
              <w:rPr>
                <w:rFonts w:asciiTheme="minorHAnsi" w:hAnsiTheme="minorHAnsi" w:cstheme="minorHAnsi"/>
                <w:szCs w:val="20"/>
              </w:rPr>
              <w:t>Scale future DFAT contribution to SWA so that it is in proportion to that of other donors (&lt; than 25%)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606B89" w14:textId="77777777" w:rsidR="00F841C2" w:rsidRPr="00537A04" w:rsidRDefault="00F841C2" w:rsidP="00A96CB5">
            <w:pPr>
              <w:pStyle w:val="TableText"/>
              <w:ind w:right="-4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Partially </w:t>
            </w:r>
            <w:r w:rsidRPr="00FF4591">
              <w:rPr>
                <w:rFonts w:asciiTheme="minorHAnsi" w:hAnsiTheme="minorHAnsi" w:cstheme="minorHAnsi"/>
                <w:sz w:val="20"/>
                <w:szCs w:val="20"/>
              </w:rPr>
              <w:t>Agree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B66ECD" w14:textId="77777777" w:rsidR="00F841C2" w:rsidRDefault="00F841C2" w:rsidP="00A96CB5">
            <w:pPr>
              <w:pStyle w:val="TableTex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7A04">
              <w:rPr>
                <w:rFonts w:asciiTheme="minorHAnsi" w:eastAsia="Calibri" w:hAnsiTheme="minorHAnsi" w:cstheme="minorHAnsi"/>
                <w:sz w:val="20"/>
                <w:szCs w:val="20"/>
              </w:rPr>
              <w:t>DFAT will consider the proportion of its funding to that of other donors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and how Sanitation and Water for All (</w:t>
            </w:r>
            <w:r w:rsidRPr="00A96CB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SWA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) can be more effective in the Asia-Pacific region.</w:t>
            </w:r>
          </w:p>
          <w:p w14:paraId="380A342C" w14:textId="37C5A89B" w:rsidR="00143B98" w:rsidRPr="00537A04" w:rsidRDefault="00143B98" w:rsidP="00A96CB5">
            <w:pPr>
              <w:pStyle w:val="TableTex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See also our response to recommendation 2(a).</w:t>
            </w:r>
          </w:p>
        </w:tc>
      </w:tr>
      <w:tr w:rsidR="00F841C2" w:rsidRPr="00537A04" w14:paraId="2E290E8E" w14:textId="77777777" w:rsidTr="00A96CB5">
        <w:trPr>
          <w:cantSplit/>
          <w:trHeight w:val="18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C3382A" w14:textId="77777777" w:rsidR="00F841C2" w:rsidRPr="00537A04" w:rsidRDefault="00F841C2" w:rsidP="00F841C2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before="0" w:line="276" w:lineRule="auto"/>
              <w:ind w:left="567" w:right="-108" w:hanging="283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537A04">
              <w:rPr>
                <w:rFonts w:asciiTheme="minorHAnsi" w:hAnsiTheme="minorHAnsi" w:cstheme="minorHAnsi"/>
                <w:szCs w:val="20"/>
              </w:rPr>
              <w:lastRenderedPageBreak/>
              <w:t>If budget constraints allow, fund UNICEF, JMP and WFPF.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4EA45B" w14:textId="77777777" w:rsidR="00F841C2" w:rsidRPr="00537A04" w:rsidRDefault="00F841C2" w:rsidP="00A96CB5">
            <w:pPr>
              <w:pStyle w:val="TableText"/>
              <w:ind w:right="-44"/>
              <w:rPr>
                <w:rFonts w:asciiTheme="minorHAnsi" w:hAnsiTheme="minorHAnsi" w:cstheme="minorHAnsi"/>
                <w:sz w:val="20"/>
                <w:szCs w:val="20"/>
              </w:rPr>
            </w:pPr>
            <w:r w:rsidRPr="00537A04">
              <w:rPr>
                <w:rFonts w:asciiTheme="minorHAnsi" w:hAnsiTheme="minorHAnsi" w:cstheme="minorHAnsi"/>
                <w:sz w:val="20"/>
                <w:szCs w:val="20"/>
              </w:rPr>
              <w:t>Partially agree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043611" w14:textId="77777777" w:rsidR="00F841C2" w:rsidRPr="00537A04" w:rsidRDefault="00F841C2" w:rsidP="00A96CB5">
            <w:pPr>
              <w:pStyle w:val="Table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Subject to aid budget outcomes, </w:t>
            </w:r>
            <w:r w:rsidRPr="00537A0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DFAT intends to continue engagement with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the Joint Monitoring Program for Drinking Water and Sanitation (</w:t>
            </w:r>
            <w:r w:rsidRPr="00537A04">
              <w:rPr>
                <w:rFonts w:asciiTheme="minorHAnsi" w:hAnsiTheme="minorHAnsi" w:cstheme="minorHAnsi"/>
                <w:b/>
                <w:sz w:val="20"/>
                <w:szCs w:val="20"/>
              </w:rPr>
              <w:t>JMP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537A04">
              <w:rPr>
                <w:rFonts w:asciiTheme="minorHAnsi" w:hAnsiTheme="minorHAnsi" w:cstheme="minorHAnsi"/>
                <w:sz w:val="20"/>
                <w:szCs w:val="20"/>
              </w:rPr>
              <w:t xml:space="preserve"> given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that it is</w:t>
            </w:r>
            <w:r w:rsidRPr="00537A04">
              <w:rPr>
                <w:rFonts w:asciiTheme="minorHAnsi" w:hAnsiTheme="minorHAnsi" w:cstheme="minorHAnsi"/>
                <w:sz w:val="20"/>
                <w:szCs w:val="20"/>
              </w:rPr>
              <w:t xml:space="preserve"> an important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global </w:t>
            </w:r>
            <w:r w:rsidRPr="00537A04">
              <w:rPr>
                <w:rFonts w:asciiTheme="minorHAnsi" w:hAnsiTheme="minorHAnsi" w:cstheme="minorHAnsi"/>
                <w:sz w:val="20"/>
                <w:szCs w:val="20"/>
              </w:rPr>
              <w:t>mechanism to report on the status of water supply and sanitation.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DFAT support will be targeted in part to improving monitoring and reporting in the Pacific</w:t>
            </w:r>
            <w:r w:rsidRPr="00537A0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79AD928" w14:textId="77777777" w:rsidR="00F841C2" w:rsidRPr="00537A04" w:rsidRDefault="00F841C2" w:rsidP="00A96CB5">
            <w:pPr>
              <w:pStyle w:val="TableTex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7A0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UNICEF Global WASH Program </w:t>
            </w:r>
            <w:r w:rsidRPr="00537A0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is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also supported as UNICEF is </w:t>
            </w:r>
            <w:r w:rsidRPr="00537A04">
              <w:rPr>
                <w:rFonts w:asciiTheme="minorHAnsi" w:eastAsia="Calibri" w:hAnsiTheme="minorHAnsi" w:cstheme="minorHAnsi"/>
                <w:sz w:val="20"/>
                <w:szCs w:val="20"/>
              </w:rPr>
              <w:t>the global lead for water issu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es in the Post-2015 framework. </w:t>
            </w:r>
            <w:r w:rsidRPr="00537A0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Maintaining a close relationship and dialogue with the Global WASH team in UNICEF enables DFAT to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engage in</w:t>
            </w:r>
            <w:r w:rsidRPr="00537A0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the Post-2015 dialogue.</w:t>
            </w:r>
          </w:p>
          <w:p w14:paraId="1A89A91A" w14:textId="189510FC" w:rsidR="00F841C2" w:rsidRPr="00537A04" w:rsidRDefault="00F841C2" w:rsidP="00C442E2">
            <w:pPr>
              <w:pStyle w:val="TableTex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Water Financing Partnership Facility (</w:t>
            </w:r>
            <w:r w:rsidRPr="00537A0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WFPF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) </w:t>
            </w:r>
            <w:r w:rsidRPr="00537A0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DFAT</w:t>
            </w:r>
            <w:r w:rsidRPr="00537A0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ha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s</w:t>
            </w:r>
            <w:r w:rsidRPr="00537A0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not contributed funding since 2011,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but</w:t>
            </w:r>
            <w:r w:rsidRPr="00537A0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CE575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is the largest contributor to the multi donor trust fund component of the WFPF </w:t>
            </w:r>
            <w:r w:rsidRPr="00537A0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and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will</w:t>
            </w:r>
            <w:r w:rsidRPr="00537A0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remain engaged</w:t>
            </w:r>
            <w:r w:rsidRPr="00537A0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to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monitor the</w:t>
            </w:r>
            <w:r w:rsidRPr="00537A0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effective expenditure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of aid funds</w:t>
            </w:r>
            <w:r w:rsidRPr="00537A0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DFAT has not contributed to</w:t>
            </w:r>
            <w:r w:rsidRPr="00537A0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the Water Partnerships Program (</w:t>
            </w:r>
            <w:r w:rsidRPr="00537A0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WPP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)</w:t>
            </w:r>
            <w:r w:rsidRPr="00656A7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to date</w:t>
            </w:r>
            <w:r w:rsidRPr="00537A04">
              <w:rPr>
                <w:rFonts w:asciiTheme="minorHAnsi" w:eastAsia="Calibri" w:hAnsiTheme="minorHAnsi" w:cstheme="minorHAnsi"/>
                <w:sz w:val="20"/>
                <w:szCs w:val="20"/>
              </w:rPr>
              <w:t>. DFAT does not derive significant policy dialogue / influence from the facility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and instead proposes to provide water resources management support to the World Bank’s Water Global Practice and the </w:t>
            </w:r>
            <w:r w:rsidR="00C442E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Asian Development Bank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through the Australian Water Partnership.</w:t>
            </w:r>
          </w:p>
        </w:tc>
      </w:tr>
      <w:tr w:rsidR="00B07601" w:rsidRPr="00537A04" w14:paraId="275D8AFC" w14:textId="77777777" w:rsidTr="00A96CB5">
        <w:trPr>
          <w:cantSplit/>
          <w:trHeight w:val="77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4B92CD" w14:textId="77777777" w:rsidR="00537A04" w:rsidRPr="00537A04" w:rsidRDefault="00B07601" w:rsidP="00A96CB5">
            <w:pPr>
              <w:suppressAutoHyphens/>
              <w:autoSpaceDN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37A0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AU"/>
              </w:rPr>
              <w:t>Recommendation 2</w:t>
            </w:r>
            <w:r w:rsidR="00537A0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AU"/>
              </w:rPr>
              <w:t>:</w:t>
            </w:r>
            <w:r w:rsidRPr="00537A0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AU"/>
              </w:rPr>
              <w:t xml:space="preserve"> DFAT </w:t>
            </w:r>
            <w:r w:rsidR="00537A04" w:rsidRPr="00537A0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AU"/>
              </w:rPr>
              <w:t>engage more actively but in fewer partnerships through forming engagement plans that: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4B7EA3" w14:textId="77777777" w:rsidR="00B07601" w:rsidRPr="00537A04" w:rsidRDefault="00B07601" w:rsidP="00A96CB5">
            <w:pPr>
              <w:pStyle w:val="TableText"/>
              <w:ind w:right="-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462DF3" w14:textId="77777777" w:rsidR="00B07601" w:rsidRPr="00537A04" w:rsidRDefault="00B07601">
            <w:pPr>
              <w:pStyle w:val="TableTex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537A04" w:rsidRPr="00537A04" w14:paraId="2CAD0F0B" w14:textId="77777777" w:rsidTr="00A96CB5">
        <w:trPr>
          <w:cantSplit/>
          <w:trHeight w:val="9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A9B8DE" w14:textId="77777777" w:rsidR="00537A04" w:rsidRPr="00537A04" w:rsidRDefault="00537A04" w:rsidP="00A96CB5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spacing w:line="276" w:lineRule="auto"/>
              <w:ind w:left="567" w:right="-108" w:hanging="283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Cs w:val="20"/>
                <w:lang w:eastAsia="en-AU"/>
              </w:rPr>
            </w:pPr>
            <w:r w:rsidRPr="00537A04">
              <w:rPr>
                <w:rFonts w:asciiTheme="minorHAnsi" w:hAnsiTheme="minorHAnsi" w:cstheme="minorHAnsi"/>
                <w:szCs w:val="20"/>
              </w:rPr>
              <w:t>Seek like-minded lead donor to share the burden of continuing the partnership with WSSCC/SWA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25F5E3" w14:textId="77777777" w:rsidR="00537A04" w:rsidRPr="00537A04" w:rsidRDefault="00537A04" w:rsidP="00A96CB5">
            <w:pPr>
              <w:pStyle w:val="TableText"/>
              <w:ind w:right="-4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Partially agree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56EC1F" w14:textId="73580ECC" w:rsidR="00537A04" w:rsidRPr="00537A04" w:rsidRDefault="00DD4E65">
            <w:pPr>
              <w:pStyle w:val="TableTex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DFAT </w:t>
            </w:r>
            <w:r w:rsidR="00537A04">
              <w:rPr>
                <w:rFonts w:asciiTheme="minorHAnsi" w:eastAsia="Calibri" w:hAnsiTheme="minorHAnsi" w:cstheme="minorHAnsi"/>
                <w:sz w:val="20"/>
                <w:szCs w:val="20"/>
              </w:rPr>
              <w:t>will encourage other donors to contribute where appropriate and will seek like-minded donors to discuss possible lead donor arrangements</w:t>
            </w:r>
            <w:r w:rsidR="0072252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but will also seek to maintain</w:t>
            </w:r>
            <w:r w:rsidR="00537A0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DFAT’s ability to influence sector policy dialogue</w:t>
            </w:r>
            <w:r w:rsidR="00722525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</w:tc>
      </w:tr>
      <w:tr w:rsidR="00537A04" w:rsidRPr="00537A04" w14:paraId="735A57F4" w14:textId="77777777" w:rsidTr="00A96CB5">
        <w:trPr>
          <w:cantSplit/>
          <w:trHeight w:val="15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26F22A" w14:textId="77777777" w:rsidR="00537A04" w:rsidRPr="00537A04" w:rsidRDefault="00537A04" w:rsidP="00A96CB5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spacing w:line="276" w:lineRule="auto"/>
              <w:ind w:left="567" w:right="-108" w:hanging="283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Cs w:val="20"/>
                <w:lang w:eastAsia="en-AU"/>
              </w:rPr>
            </w:pPr>
            <w:r w:rsidRPr="00537A04">
              <w:rPr>
                <w:rFonts w:asciiTheme="minorHAnsi" w:hAnsiTheme="minorHAnsi" w:cstheme="minorHAnsi"/>
                <w:szCs w:val="20"/>
              </w:rPr>
              <w:t xml:space="preserve">Matches the needs of DFAT bilateral programs in each country with the potential for </w:t>
            </w:r>
            <w:r w:rsidRPr="00795011">
              <w:rPr>
                <w:rFonts w:asciiTheme="minorHAnsi" w:hAnsiTheme="minorHAnsi" w:cstheme="minorHAnsi"/>
                <w:szCs w:val="20"/>
              </w:rPr>
              <w:t>applying</w:t>
            </w:r>
            <w:r w:rsidRPr="00537A04">
              <w:rPr>
                <w:rFonts w:asciiTheme="minorHAnsi" w:hAnsiTheme="minorHAnsi" w:cstheme="minorHAnsi"/>
                <w:szCs w:val="20"/>
              </w:rPr>
              <w:t xml:space="preserve"> and testing partnerships based knowledge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24EE95" w14:textId="77777777" w:rsidR="00537A04" w:rsidRPr="00537A04" w:rsidRDefault="00722525" w:rsidP="00A96CB5">
            <w:pPr>
              <w:pStyle w:val="TableText"/>
              <w:ind w:right="-4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Agreed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E17BE1" w14:textId="5AD2E745" w:rsidR="00537A04" w:rsidRPr="00537A04" w:rsidRDefault="00537A04">
            <w:pPr>
              <w:pStyle w:val="TableTex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537A04" w:rsidRPr="00537A04" w14:paraId="4A14C24E" w14:textId="77777777" w:rsidTr="00A96CB5">
        <w:trPr>
          <w:cantSplit/>
          <w:trHeight w:val="18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ED1716" w14:textId="77777777" w:rsidR="00537A04" w:rsidRPr="00537A04" w:rsidRDefault="00537A04" w:rsidP="00A96CB5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spacing w:line="276" w:lineRule="auto"/>
              <w:ind w:left="567" w:right="-108" w:hanging="283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Cs w:val="20"/>
                <w:lang w:eastAsia="en-AU"/>
              </w:rPr>
            </w:pPr>
            <w:r w:rsidRPr="00537A04">
              <w:rPr>
                <w:rFonts w:asciiTheme="minorHAnsi" w:hAnsiTheme="minorHAnsi" w:cstheme="minorHAnsi"/>
                <w:szCs w:val="20"/>
              </w:rPr>
              <w:t>Encourages the partnerships to continue improvements in monitoring, evaluation and reporting especially on the success or otherwise of dissemination and the practical application of guidance, advocacy and knowledge sharing efforts.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B931E" w14:textId="77777777" w:rsidR="00537A04" w:rsidRPr="00537A04" w:rsidRDefault="00722525" w:rsidP="00A96CB5">
            <w:pPr>
              <w:pStyle w:val="TableText"/>
              <w:ind w:right="-4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Agreed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679D92" w14:textId="41BE9ADE" w:rsidR="00537A04" w:rsidRPr="00537A04" w:rsidRDefault="00537A04">
            <w:pPr>
              <w:pStyle w:val="TableTex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14:paraId="196F0E98" w14:textId="77777777" w:rsidR="00602825" w:rsidRPr="00537A04" w:rsidRDefault="00602825" w:rsidP="00A96CB5">
      <w:pPr>
        <w:ind w:right="-284"/>
        <w:rPr>
          <w:rFonts w:asciiTheme="minorHAnsi" w:hAnsiTheme="minorHAnsi" w:cstheme="minorHAnsi"/>
          <w:sz w:val="20"/>
          <w:szCs w:val="20"/>
        </w:rPr>
      </w:pPr>
    </w:p>
    <w:sectPr w:rsidR="00602825" w:rsidRPr="00537A04" w:rsidSect="00A96C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4CA20" w14:textId="77777777" w:rsidR="006366F6" w:rsidRDefault="006366F6" w:rsidP="00A96CB5">
      <w:r>
        <w:separator/>
      </w:r>
    </w:p>
  </w:endnote>
  <w:endnote w:type="continuationSeparator" w:id="0">
    <w:p w14:paraId="10E1924B" w14:textId="77777777" w:rsidR="006366F6" w:rsidRDefault="006366F6" w:rsidP="00A9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638E6" w14:textId="77777777" w:rsidR="00C316C1" w:rsidRDefault="00C316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6955F" w14:textId="77777777" w:rsidR="00C316C1" w:rsidRDefault="00C316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8AEEB" w14:textId="77777777" w:rsidR="00C316C1" w:rsidRDefault="00C316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84AB9" w14:textId="77777777" w:rsidR="006366F6" w:rsidRDefault="006366F6" w:rsidP="00A96CB5">
      <w:r>
        <w:separator/>
      </w:r>
    </w:p>
  </w:footnote>
  <w:footnote w:type="continuationSeparator" w:id="0">
    <w:p w14:paraId="6BDFF173" w14:textId="77777777" w:rsidR="006366F6" w:rsidRDefault="006366F6" w:rsidP="00A96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3A805" w14:textId="77777777" w:rsidR="00C316C1" w:rsidRDefault="00C316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2171F" w14:textId="77777777" w:rsidR="00C316C1" w:rsidRDefault="00C316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A147D" w14:textId="77777777" w:rsidR="00C316C1" w:rsidRDefault="00C316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46EC"/>
    <w:multiLevelType w:val="hybridMultilevel"/>
    <w:tmpl w:val="0D6426B0"/>
    <w:lvl w:ilvl="0" w:tplc="7E146CB8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hint="default"/>
        <w:b w:val="0"/>
        <w:color w:val="000000" w:themeColor="text1"/>
        <w:sz w:val="1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77B74"/>
    <w:multiLevelType w:val="hybridMultilevel"/>
    <w:tmpl w:val="9F68E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E4235"/>
    <w:multiLevelType w:val="hybridMultilevel"/>
    <w:tmpl w:val="8C426978"/>
    <w:lvl w:ilvl="0" w:tplc="B7F0FC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45"/>
    <w:rsid w:val="0006767D"/>
    <w:rsid w:val="000C547D"/>
    <w:rsid w:val="000E7AD0"/>
    <w:rsid w:val="00143A3D"/>
    <w:rsid w:val="00143B98"/>
    <w:rsid w:val="001B6EC9"/>
    <w:rsid w:val="001C6EEA"/>
    <w:rsid w:val="001F10E3"/>
    <w:rsid w:val="00236C9E"/>
    <w:rsid w:val="002612A0"/>
    <w:rsid w:val="00264275"/>
    <w:rsid w:val="00292B5B"/>
    <w:rsid w:val="002E5ED0"/>
    <w:rsid w:val="003441D1"/>
    <w:rsid w:val="00344A74"/>
    <w:rsid w:val="00350E0C"/>
    <w:rsid w:val="003A151B"/>
    <w:rsid w:val="004213DA"/>
    <w:rsid w:val="004B4BED"/>
    <w:rsid w:val="004D04D7"/>
    <w:rsid w:val="004F121D"/>
    <w:rsid w:val="005009AD"/>
    <w:rsid w:val="00514F16"/>
    <w:rsid w:val="00536998"/>
    <w:rsid w:val="00537A04"/>
    <w:rsid w:val="00582B82"/>
    <w:rsid w:val="005B16E4"/>
    <w:rsid w:val="005C3D38"/>
    <w:rsid w:val="005C61CB"/>
    <w:rsid w:val="005E03BA"/>
    <w:rsid w:val="00602825"/>
    <w:rsid w:val="00614E2E"/>
    <w:rsid w:val="00626101"/>
    <w:rsid w:val="006366F6"/>
    <w:rsid w:val="00650039"/>
    <w:rsid w:val="00656A74"/>
    <w:rsid w:val="006C3C8F"/>
    <w:rsid w:val="006E288D"/>
    <w:rsid w:val="006F43FE"/>
    <w:rsid w:val="00711896"/>
    <w:rsid w:val="00722525"/>
    <w:rsid w:val="00771BD8"/>
    <w:rsid w:val="00793545"/>
    <w:rsid w:val="00795011"/>
    <w:rsid w:val="007B4E11"/>
    <w:rsid w:val="007E25C0"/>
    <w:rsid w:val="007E4BBA"/>
    <w:rsid w:val="007F5ADA"/>
    <w:rsid w:val="00801E13"/>
    <w:rsid w:val="00824BFB"/>
    <w:rsid w:val="00867168"/>
    <w:rsid w:val="008734F8"/>
    <w:rsid w:val="008740B2"/>
    <w:rsid w:val="008B419D"/>
    <w:rsid w:val="008D3B14"/>
    <w:rsid w:val="008D3F1B"/>
    <w:rsid w:val="00907546"/>
    <w:rsid w:val="00911D03"/>
    <w:rsid w:val="00913743"/>
    <w:rsid w:val="00913F38"/>
    <w:rsid w:val="00952ED4"/>
    <w:rsid w:val="00983E53"/>
    <w:rsid w:val="00993728"/>
    <w:rsid w:val="009C4AB3"/>
    <w:rsid w:val="00A00642"/>
    <w:rsid w:val="00A07968"/>
    <w:rsid w:val="00A14383"/>
    <w:rsid w:val="00A5154F"/>
    <w:rsid w:val="00A63BFB"/>
    <w:rsid w:val="00A96CB5"/>
    <w:rsid w:val="00A97EE1"/>
    <w:rsid w:val="00AB3AE9"/>
    <w:rsid w:val="00AD7543"/>
    <w:rsid w:val="00AD7DF2"/>
    <w:rsid w:val="00B07601"/>
    <w:rsid w:val="00B405FB"/>
    <w:rsid w:val="00B4325E"/>
    <w:rsid w:val="00B4773B"/>
    <w:rsid w:val="00B62778"/>
    <w:rsid w:val="00B7210D"/>
    <w:rsid w:val="00BE4243"/>
    <w:rsid w:val="00C17DEB"/>
    <w:rsid w:val="00C316C1"/>
    <w:rsid w:val="00C442E2"/>
    <w:rsid w:val="00C5592D"/>
    <w:rsid w:val="00C63A5F"/>
    <w:rsid w:val="00C67E94"/>
    <w:rsid w:val="00CE575A"/>
    <w:rsid w:val="00D03DA8"/>
    <w:rsid w:val="00D062B0"/>
    <w:rsid w:val="00D2263B"/>
    <w:rsid w:val="00D64185"/>
    <w:rsid w:val="00D847E8"/>
    <w:rsid w:val="00DB67B9"/>
    <w:rsid w:val="00DD4E65"/>
    <w:rsid w:val="00DF443F"/>
    <w:rsid w:val="00DF70BC"/>
    <w:rsid w:val="00E7103D"/>
    <w:rsid w:val="00EC7B79"/>
    <w:rsid w:val="00EE1EE5"/>
    <w:rsid w:val="00F46D07"/>
    <w:rsid w:val="00F841C2"/>
    <w:rsid w:val="00F96F8C"/>
    <w:rsid w:val="00FF4591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3C1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7935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35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354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3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3545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793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3545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qFormat/>
    <w:rsid w:val="00602825"/>
    <w:rPr>
      <w:b/>
      <w:bCs/>
    </w:rPr>
  </w:style>
  <w:style w:type="paragraph" w:styleId="ListParagraph">
    <w:name w:val="List Paragraph"/>
    <w:basedOn w:val="Normal"/>
    <w:uiPriority w:val="34"/>
    <w:qFormat/>
    <w:rsid w:val="00602825"/>
    <w:pPr>
      <w:spacing w:before="120"/>
      <w:ind w:left="720"/>
      <w:contextualSpacing/>
    </w:pPr>
    <w:rPr>
      <w:rFonts w:ascii="Arial" w:hAnsi="Arial"/>
      <w:sz w:val="20"/>
    </w:rPr>
  </w:style>
  <w:style w:type="paragraph" w:customStyle="1" w:styleId="TableText">
    <w:name w:val="TableText"/>
    <w:basedOn w:val="Normal"/>
    <w:rsid w:val="00602825"/>
    <w:pPr>
      <w:keepNext/>
      <w:spacing w:before="40" w:after="40" w:line="200" w:lineRule="atLeast"/>
    </w:pPr>
    <w:rPr>
      <w:rFonts w:ascii="Franklin Gothic Book" w:hAnsi="Franklin Gothic Book"/>
      <w:color w:val="000000" w:themeColor="text1"/>
      <w:sz w:val="17"/>
      <w:szCs w:val="21"/>
      <w:lang w:eastAsia="en-AU"/>
    </w:rPr>
  </w:style>
  <w:style w:type="table" w:styleId="TableGrid">
    <w:name w:val="Table Grid"/>
    <w:basedOn w:val="TableNormal"/>
    <w:uiPriority w:val="59"/>
    <w:rsid w:val="00602825"/>
    <w:tblPr>
      <w:tblBorders>
        <w:top w:val="single" w:sz="4" w:space="0" w:color="007FAD"/>
        <w:bottom w:val="single" w:sz="4" w:space="0" w:color="007FAD"/>
        <w:insideH w:val="single" w:sz="4" w:space="0" w:color="007FAD"/>
      </w:tblBorders>
      <w:tblCellMar>
        <w:top w:w="85" w:type="dxa"/>
        <w:bottom w:w="85" w:type="dxa"/>
      </w:tblCellMar>
    </w:tblPr>
    <w:tcPr>
      <w:shd w:val="clear" w:color="auto" w:fill="FFFFFF" w:themeFill="background1"/>
    </w:tcPr>
    <w:tblStylePr w:type="firstRow">
      <w:tblPr/>
      <w:tcPr>
        <w:shd w:val="clear" w:color="auto" w:fill="007FAD"/>
      </w:tcPr>
    </w:tblStylePr>
  </w:style>
  <w:style w:type="paragraph" w:styleId="Revision">
    <w:name w:val="Revision"/>
    <w:hidden/>
    <w:uiPriority w:val="99"/>
    <w:semiHidden/>
    <w:rsid w:val="00D847E8"/>
    <w:rPr>
      <w:sz w:val="24"/>
      <w:szCs w:val="24"/>
      <w:lang w:eastAsia="en-US"/>
    </w:rPr>
  </w:style>
  <w:style w:type="paragraph" w:customStyle="1" w:styleId="Default">
    <w:name w:val="Default"/>
    <w:rsid w:val="00A96CB5"/>
    <w:pPr>
      <w:autoSpaceDE w:val="0"/>
      <w:autoSpaceDN w:val="0"/>
    </w:pPr>
    <w:rPr>
      <w:rFonts w:ascii="Arial" w:eastAsia="Calibri" w:hAnsi="Arial" w:cs="Arial"/>
      <w:color w:val="000000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rsid w:val="00A96C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96CB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96C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96CB5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rsid w:val="00A96CB5"/>
    <w:pPr>
      <w:suppressAutoHyphens/>
      <w:autoSpaceDN w:val="0"/>
      <w:spacing w:after="200" w:line="276" w:lineRule="auto"/>
      <w:jc w:val="center"/>
      <w:textAlignment w:val="baseline"/>
    </w:pPr>
    <w:rPr>
      <w:rFonts w:ascii="Calibri" w:eastAsia="Calibri" w:hAnsi="Calibri"/>
      <w:b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A96CB5"/>
    <w:rPr>
      <w:rFonts w:ascii="Calibri" w:eastAsia="Calibri" w:hAnsi="Calibri"/>
      <w:b/>
      <w:sz w:val="32"/>
      <w:szCs w:val="3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7935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35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354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3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3545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793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3545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qFormat/>
    <w:rsid w:val="00602825"/>
    <w:rPr>
      <w:b/>
      <w:bCs/>
    </w:rPr>
  </w:style>
  <w:style w:type="paragraph" w:styleId="ListParagraph">
    <w:name w:val="List Paragraph"/>
    <w:basedOn w:val="Normal"/>
    <w:uiPriority w:val="34"/>
    <w:qFormat/>
    <w:rsid w:val="00602825"/>
    <w:pPr>
      <w:spacing w:before="120"/>
      <w:ind w:left="720"/>
      <w:contextualSpacing/>
    </w:pPr>
    <w:rPr>
      <w:rFonts w:ascii="Arial" w:hAnsi="Arial"/>
      <w:sz w:val="20"/>
    </w:rPr>
  </w:style>
  <w:style w:type="paragraph" w:customStyle="1" w:styleId="TableText">
    <w:name w:val="TableText"/>
    <w:basedOn w:val="Normal"/>
    <w:rsid w:val="00602825"/>
    <w:pPr>
      <w:keepNext/>
      <w:spacing w:before="40" w:after="40" w:line="200" w:lineRule="atLeast"/>
    </w:pPr>
    <w:rPr>
      <w:rFonts w:ascii="Franklin Gothic Book" w:hAnsi="Franklin Gothic Book"/>
      <w:color w:val="000000" w:themeColor="text1"/>
      <w:sz w:val="17"/>
      <w:szCs w:val="21"/>
      <w:lang w:eastAsia="en-AU"/>
    </w:rPr>
  </w:style>
  <w:style w:type="table" w:styleId="TableGrid">
    <w:name w:val="Table Grid"/>
    <w:basedOn w:val="TableNormal"/>
    <w:uiPriority w:val="59"/>
    <w:rsid w:val="00602825"/>
    <w:tblPr>
      <w:tblBorders>
        <w:top w:val="single" w:sz="4" w:space="0" w:color="007FAD"/>
        <w:bottom w:val="single" w:sz="4" w:space="0" w:color="007FAD"/>
        <w:insideH w:val="single" w:sz="4" w:space="0" w:color="007FAD"/>
      </w:tblBorders>
      <w:tblCellMar>
        <w:top w:w="85" w:type="dxa"/>
        <w:bottom w:w="85" w:type="dxa"/>
      </w:tblCellMar>
    </w:tblPr>
    <w:tcPr>
      <w:shd w:val="clear" w:color="auto" w:fill="FFFFFF" w:themeFill="background1"/>
    </w:tcPr>
    <w:tblStylePr w:type="firstRow">
      <w:tblPr/>
      <w:tcPr>
        <w:shd w:val="clear" w:color="auto" w:fill="007FAD"/>
      </w:tcPr>
    </w:tblStylePr>
  </w:style>
  <w:style w:type="paragraph" w:styleId="Revision">
    <w:name w:val="Revision"/>
    <w:hidden/>
    <w:uiPriority w:val="99"/>
    <w:semiHidden/>
    <w:rsid w:val="00D847E8"/>
    <w:rPr>
      <w:sz w:val="24"/>
      <w:szCs w:val="24"/>
      <w:lang w:eastAsia="en-US"/>
    </w:rPr>
  </w:style>
  <w:style w:type="paragraph" w:customStyle="1" w:styleId="Default">
    <w:name w:val="Default"/>
    <w:rsid w:val="00A96CB5"/>
    <w:pPr>
      <w:autoSpaceDE w:val="0"/>
      <w:autoSpaceDN w:val="0"/>
    </w:pPr>
    <w:rPr>
      <w:rFonts w:ascii="Arial" w:eastAsia="Calibri" w:hAnsi="Arial" w:cs="Arial"/>
      <w:color w:val="000000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rsid w:val="00A96C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96CB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96C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96CB5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rsid w:val="00A96CB5"/>
    <w:pPr>
      <w:suppressAutoHyphens/>
      <w:autoSpaceDN w:val="0"/>
      <w:spacing w:after="200" w:line="276" w:lineRule="auto"/>
      <w:jc w:val="center"/>
      <w:textAlignment w:val="baseline"/>
    </w:pPr>
    <w:rPr>
      <w:rFonts w:ascii="Calibri" w:eastAsia="Calibri" w:hAnsi="Calibri"/>
      <w:b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A96CB5"/>
    <w:rPr>
      <w:rFonts w:ascii="Calibri" w:eastAsia="Calibri" w:hAnsi="Calibri"/>
      <w:b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601780-60C9-427D-B260-0417DDCDC64F}"/>
</file>

<file path=customXml/itemProps2.xml><?xml version="1.0" encoding="utf-8"?>
<ds:datastoreItem xmlns:ds="http://schemas.openxmlformats.org/officeDocument/2006/customXml" ds:itemID="{4CA74CFE-ABA9-445A-9FD3-6F38189BE0FD}"/>
</file>

<file path=customXml/itemProps3.xml><?xml version="1.0" encoding="utf-8"?>
<ds:datastoreItem xmlns:ds="http://schemas.openxmlformats.org/officeDocument/2006/customXml" ds:itemID="{24B098C2-33F3-44EC-9699-533460AF8FB1}"/>
</file>

<file path=docProps/app.xml><?xml version="1.0" encoding="utf-8"?>
<Properties xmlns="http://schemas.openxmlformats.org/officeDocument/2006/extended-properties" xmlns:vt="http://schemas.openxmlformats.org/officeDocument/2006/docPropsVTypes">
  <Template>9F4EC139</Template>
  <TotalTime>0</TotalTime>
  <Pages>3</Pages>
  <Words>855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2016-01-29T04:38:00Z</dcterms:created>
  <dcterms:modified xsi:type="dcterms:W3CDTF">2016-01-29T04:38:00Z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70585bad-313f-4082-b7c2-ca2c4bdd42ed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0x01010050F19AC2165D2E47A5E6B7F563E4CF00</vt:lpwstr>
  </property>
  <property fmtid="{D5CDD505-2E9C-101B-9397-08002B2CF9AE}" pid="6" name="Order">
    <vt:r8>1008900</vt:r8>
  </property>
  <property fmtid="{D5CDD505-2E9C-101B-9397-08002B2CF9AE}" pid="7" name="TemplateUr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