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63B1" w14:textId="37E9A3D9" w:rsidR="007D1270" w:rsidRPr="00AB35A8" w:rsidRDefault="000E2259" w:rsidP="00AB35A8">
      <w:pPr>
        <w:pStyle w:val="Heading1"/>
      </w:pPr>
      <w:r w:rsidRPr="00AB35A8">
        <w:t>Wok B</w:t>
      </w:r>
      <w:r w:rsidR="00EB0690" w:rsidRPr="00AB35A8">
        <w:t>ung</w:t>
      </w:r>
      <w:r w:rsidRPr="00AB35A8">
        <w:t xml:space="preserve"> </w:t>
      </w:r>
      <w:proofErr w:type="spellStart"/>
      <w:r w:rsidRPr="00AB35A8">
        <w:t>Waintaim</w:t>
      </w:r>
      <w:proofErr w:type="spellEnd"/>
      <w:r w:rsidR="007D1270" w:rsidRPr="00AB35A8">
        <w:t xml:space="preserve"> </w:t>
      </w:r>
      <w:r w:rsidR="00F10C67" w:rsidRPr="00AB35A8">
        <w:t xml:space="preserve">(WBW) </w:t>
      </w:r>
      <w:r w:rsidR="007D1270" w:rsidRPr="00AB35A8">
        <w:t xml:space="preserve">Program Review </w:t>
      </w:r>
      <w:r w:rsidRPr="00AB35A8">
        <w:t xml:space="preserve">- </w:t>
      </w:r>
      <w:r w:rsidR="007D1270" w:rsidRPr="00AB35A8">
        <w:t>Management Response</w:t>
      </w:r>
    </w:p>
    <w:tbl>
      <w:tblPr>
        <w:tblStyle w:val="TableGrid"/>
        <w:tblW w:w="20552" w:type="dxa"/>
        <w:tblLayout w:type="fixed"/>
        <w:tblLook w:val="04A0" w:firstRow="1" w:lastRow="0" w:firstColumn="1" w:lastColumn="0" w:noHBand="0" w:noVBand="1"/>
      </w:tblPr>
      <w:tblGrid>
        <w:gridCol w:w="3964"/>
        <w:gridCol w:w="1701"/>
        <w:gridCol w:w="5670"/>
        <w:gridCol w:w="6238"/>
        <w:gridCol w:w="2979"/>
      </w:tblGrid>
      <w:tr w:rsidR="00EF0572" w:rsidRPr="006B0640" w14:paraId="5EF167D7" w14:textId="77777777" w:rsidTr="001533E1">
        <w:trPr>
          <w:tblHeader/>
        </w:trPr>
        <w:tc>
          <w:tcPr>
            <w:tcW w:w="3964" w:type="dxa"/>
            <w:shd w:val="clear" w:color="auto" w:fill="F2F2F2" w:themeFill="background1" w:themeFillShade="F2"/>
            <w:vAlign w:val="center"/>
          </w:tcPr>
          <w:p w14:paraId="0E98CC9E" w14:textId="764CB73C" w:rsidR="00EF0572" w:rsidRPr="006B0640" w:rsidRDefault="00EF0572" w:rsidP="00EF0572">
            <w:pPr>
              <w:rPr>
                <w:rFonts w:cstheme="minorHAnsi"/>
                <w:b/>
              </w:rPr>
            </w:pPr>
            <w:r w:rsidRPr="006B0640">
              <w:rPr>
                <w:rFonts w:eastAsia="Times New Roman" w:cstheme="minorHAnsi"/>
                <w:b/>
                <w:bCs/>
                <w:lang w:eastAsia="en-AU"/>
              </w:rPr>
              <w:t xml:space="preserve"> Recommendation</w:t>
            </w:r>
          </w:p>
        </w:tc>
        <w:tc>
          <w:tcPr>
            <w:tcW w:w="1701" w:type="dxa"/>
            <w:shd w:val="clear" w:color="auto" w:fill="F2F2F2" w:themeFill="background1" w:themeFillShade="F2"/>
            <w:vAlign w:val="bottom"/>
          </w:tcPr>
          <w:p w14:paraId="4BAEA79C" w14:textId="6A7D8678" w:rsidR="00EF0572" w:rsidRPr="006B0640" w:rsidRDefault="00EF0572" w:rsidP="00EF0572">
            <w:pPr>
              <w:rPr>
                <w:rFonts w:eastAsia="Times New Roman" w:cstheme="minorHAnsi"/>
                <w:b/>
                <w:bCs/>
                <w:lang w:eastAsia="en-AU"/>
              </w:rPr>
            </w:pPr>
            <w:r w:rsidRPr="006B0640">
              <w:rPr>
                <w:rFonts w:eastAsia="Times New Roman" w:cstheme="minorHAnsi"/>
                <w:b/>
                <w:bCs/>
                <w:lang w:eastAsia="en-AU"/>
              </w:rPr>
              <w:t xml:space="preserve">Response (Agree, </w:t>
            </w:r>
            <w:proofErr w:type="gramStart"/>
            <w:r w:rsidRPr="006B0640">
              <w:rPr>
                <w:rFonts w:eastAsia="Times New Roman" w:cstheme="minorHAnsi"/>
                <w:b/>
                <w:bCs/>
                <w:lang w:eastAsia="en-AU"/>
              </w:rPr>
              <w:t>Agree</w:t>
            </w:r>
            <w:proofErr w:type="gramEnd"/>
            <w:r w:rsidRPr="006B0640">
              <w:rPr>
                <w:rFonts w:eastAsia="Times New Roman" w:cstheme="minorHAnsi"/>
                <w:b/>
                <w:bCs/>
                <w:lang w:eastAsia="en-AU"/>
              </w:rPr>
              <w:t xml:space="preserve"> in part, Disagree)</w:t>
            </w:r>
          </w:p>
        </w:tc>
        <w:tc>
          <w:tcPr>
            <w:tcW w:w="5670" w:type="dxa"/>
            <w:shd w:val="clear" w:color="auto" w:fill="F2F2F2" w:themeFill="background1" w:themeFillShade="F2"/>
            <w:vAlign w:val="center"/>
          </w:tcPr>
          <w:p w14:paraId="598C48C4" w14:textId="459DA423" w:rsidR="00EF0572" w:rsidRPr="006B0640" w:rsidRDefault="00EF0572" w:rsidP="00EF0572">
            <w:pPr>
              <w:rPr>
                <w:rFonts w:cstheme="minorHAnsi"/>
                <w:b/>
              </w:rPr>
            </w:pPr>
            <w:r w:rsidRPr="006B0640">
              <w:rPr>
                <w:rFonts w:eastAsia="Times New Roman" w:cstheme="minorHAnsi"/>
                <w:b/>
                <w:bCs/>
                <w:lang w:eastAsia="en-AU"/>
              </w:rPr>
              <w:t xml:space="preserve"> Explanation</w:t>
            </w:r>
          </w:p>
        </w:tc>
        <w:tc>
          <w:tcPr>
            <w:tcW w:w="6238" w:type="dxa"/>
            <w:shd w:val="clear" w:color="auto" w:fill="F2F2F2" w:themeFill="background1" w:themeFillShade="F2"/>
            <w:vAlign w:val="center"/>
          </w:tcPr>
          <w:p w14:paraId="033F66CD" w14:textId="5780EF96" w:rsidR="00EF0572" w:rsidRPr="006B0640" w:rsidRDefault="00EF0572" w:rsidP="00EF0572">
            <w:pPr>
              <w:rPr>
                <w:rFonts w:cstheme="minorHAnsi"/>
                <w:b/>
              </w:rPr>
            </w:pPr>
            <w:r w:rsidRPr="006B0640">
              <w:rPr>
                <w:rFonts w:eastAsia="Times New Roman" w:cstheme="minorHAnsi"/>
                <w:b/>
                <w:bCs/>
                <w:lang w:eastAsia="en-AU"/>
              </w:rPr>
              <w:t>Action Plan</w:t>
            </w:r>
          </w:p>
        </w:tc>
        <w:tc>
          <w:tcPr>
            <w:tcW w:w="2979" w:type="dxa"/>
            <w:shd w:val="clear" w:color="auto" w:fill="F2F2F2" w:themeFill="background1" w:themeFillShade="F2"/>
            <w:vAlign w:val="center"/>
          </w:tcPr>
          <w:p w14:paraId="32576CB0" w14:textId="08741FB1" w:rsidR="00EF0572" w:rsidRPr="006B0640" w:rsidRDefault="00EF0572" w:rsidP="00EF0572">
            <w:pPr>
              <w:rPr>
                <w:rFonts w:cstheme="minorHAnsi"/>
                <w:b/>
              </w:rPr>
            </w:pPr>
            <w:r w:rsidRPr="006B0640">
              <w:rPr>
                <w:rFonts w:eastAsia="Times New Roman" w:cstheme="minorHAnsi"/>
                <w:b/>
                <w:bCs/>
                <w:lang w:eastAsia="en-AU"/>
              </w:rPr>
              <w:t>Timeframe</w:t>
            </w:r>
          </w:p>
        </w:tc>
      </w:tr>
      <w:tr w:rsidR="00EF0572" w:rsidRPr="006B0640" w14:paraId="4B8EAD63" w14:textId="77777777" w:rsidTr="001533E1">
        <w:tc>
          <w:tcPr>
            <w:tcW w:w="3964" w:type="dxa"/>
            <w:vAlign w:val="center"/>
          </w:tcPr>
          <w:p w14:paraId="1EF60318" w14:textId="77777777" w:rsidR="00F10C67" w:rsidRDefault="0043752F" w:rsidP="00EF0572">
            <w:pPr>
              <w:rPr>
                <w:rFonts w:asciiTheme="majorHAnsi" w:eastAsia="Times New Roman" w:hAnsiTheme="majorHAnsi" w:cstheme="majorHAnsi"/>
                <w:b/>
                <w:bCs/>
                <w:color w:val="000000"/>
                <w:lang w:eastAsia="en-AU"/>
              </w:rPr>
            </w:pPr>
            <w:r>
              <w:rPr>
                <w:rFonts w:asciiTheme="majorHAnsi" w:eastAsia="Times New Roman" w:hAnsiTheme="majorHAnsi" w:cstheme="majorHAnsi"/>
                <w:b/>
                <w:bCs/>
                <w:color w:val="000000"/>
                <w:lang w:eastAsia="en-AU"/>
              </w:rPr>
              <w:t>Recommendation</w:t>
            </w:r>
            <w:r w:rsidRPr="006B0640">
              <w:rPr>
                <w:rFonts w:asciiTheme="majorHAnsi" w:eastAsia="Times New Roman" w:hAnsiTheme="majorHAnsi" w:cstheme="majorHAnsi"/>
                <w:b/>
                <w:bCs/>
                <w:color w:val="000000"/>
                <w:lang w:eastAsia="en-AU"/>
              </w:rPr>
              <w:t xml:space="preserve"> </w:t>
            </w:r>
            <w:r w:rsidR="00EF0572" w:rsidRPr="006B0640">
              <w:rPr>
                <w:rFonts w:asciiTheme="majorHAnsi" w:eastAsia="Times New Roman" w:hAnsiTheme="majorHAnsi" w:cstheme="majorHAnsi"/>
                <w:b/>
                <w:bCs/>
                <w:color w:val="000000"/>
                <w:lang w:eastAsia="en-AU"/>
              </w:rPr>
              <w:t xml:space="preserve">1: </w:t>
            </w:r>
          </w:p>
          <w:p w14:paraId="4C110879" w14:textId="4AFB1F8B" w:rsidR="00EF0572" w:rsidRPr="000821FA" w:rsidRDefault="00EF0572" w:rsidP="00EF0572">
            <w:pPr>
              <w:rPr>
                <w:rFonts w:eastAsia="Times New Roman" w:cstheme="minorHAnsi"/>
              </w:rPr>
            </w:pPr>
            <w:r w:rsidRPr="000821FA">
              <w:rPr>
                <w:rFonts w:eastAsia="Times New Roman" w:cstheme="minorHAnsi"/>
                <w:b/>
              </w:rPr>
              <w:t>The A</w:t>
            </w:r>
            <w:r w:rsidR="0056319E">
              <w:rPr>
                <w:rFonts w:eastAsia="Times New Roman" w:cstheme="minorHAnsi"/>
                <w:b/>
              </w:rPr>
              <w:t xml:space="preserve">ustralian </w:t>
            </w:r>
            <w:r w:rsidRPr="000821FA">
              <w:rPr>
                <w:rFonts w:eastAsia="Times New Roman" w:cstheme="minorHAnsi"/>
                <w:b/>
              </w:rPr>
              <w:t>H</w:t>
            </w:r>
            <w:r w:rsidR="0056319E">
              <w:rPr>
                <w:rFonts w:eastAsia="Times New Roman" w:cstheme="minorHAnsi"/>
                <w:b/>
              </w:rPr>
              <w:t xml:space="preserve">igh </w:t>
            </w:r>
            <w:r w:rsidRPr="000821FA">
              <w:rPr>
                <w:rFonts w:eastAsia="Times New Roman" w:cstheme="minorHAnsi"/>
                <w:b/>
              </w:rPr>
              <w:t>C</w:t>
            </w:r>
            <w:r w:rsidR="0056319E">
              <w:rPr>
                <w:rFonts w:eastAsia="Times New Roman" w:cstheme="minorHAnsi"/>
                <w:b/>
              </w:rPr>
              <w:t>ommission Port Moresby (AHC)</w:t>
            </w:r>
            <w:r w:rsidRPr="000821FA">
              <w:rPr>
                <w:rFonts w:eastAsia="Times New Roman" w:cstheme="minorHAnsi"/>
                <w:b/>
              </w:rPr>
              <w:t xml:space="preserve"> – either through PATH or </w:t>
            </w:r>
            <w:r>
              <w:rPr>
                <w:rFonts w:eastAsia="Times New Roman" w:cstheme="minorHAnsi"/>
                <w:b/>
              </w:rPr>
              <w:t xml:space="preserve">future </w:t>
            </w:r>
            <w:r w:rsidRPr="000821FA">
              <w:rPr>
                <w:rFonts w:eastAsia="Times New Roman" w:cstheme="minorHAnsi"/>
                <w:b/>
              </w:rPr>
              <w:t>investment</w:t>
            </w:r>
            <w:r>
              <w:rPr>
                <w:rFonts w:eastAsia="Times New Roman" w:cstheme="minorHAnsi"/>
                <w:b/>
              </w:rPr>
              <w:t xml:space="preserve"> partners</w:t>
            </w:r>
            <w:r w:rsidRPr="000821FA">
              <w:rPr>
                <w:rFonts w:eastAsia="Times New Roman" w:cstheme="minorHAnsi"/>
                <w:b/>
              </w:rPr>
              <w:t xml:space="preserve"> – should provide advocacy and technical support to strengthen </w:t>
            </w:r>
            <w:r>
              <w:rPr>
                <w:rFonts w:eastAsia="Times New Roman" w:cstheme="minorHAnsi"/>
                <w:b/>
              </w:rPr>
              <w:t xml:space="preserve">GoPNG </w:t>
            </w:r>
            <w:r w:rsidRPr="000821FA">
              <w:rPr>
                <w:rFonts w:eastAsia="Times New Roman" w:cstheme="minorHAnsi"/>
                <w:b/>
              </w:rPr>
              <w:t>national-level coordination mechanisms.</w:t>
            </w:r>
            <w:r w:rsidRPr="000821FA">
              <w:rPr>
                <w:rFonts w:eastAsia="Times New Roman" w:cstheme="minorHAnsi"/>
              </w:rPr>
              <w:t xml:space="preserve"> </w:t>
            </w:r>
          </w:p>
          <w:p w14:paraId="6E299405" w14:textId="18769772" w:rsidR="00EF0572" w:rsidRPr="006B0640" w:rsidRDefault="00EF0572" w:rsidP="00EF0572">
            <w:pPr>
              <w:rPr>
                <w:rFonts w:asciiTheme="majorHAnsi" w:hAnsiTheme="majorHAnsi" w:cstheme="majorHAnsi"/>
              </w:rPr>
            </w:pPr>
          </w:p>
        </w:tc>
        <w:tc>
          <w:tcPr>
            <w:tcW w:w="1701" w:type="dxa"/>
            <w:vAlign w:val="center"/>
          </w:tcPr>
          <w:p w14:paraId="4D299195" w14:textId="0CBCEFDF" w:rsidR="00EF0572" w:rsidRPr="001533E1" w:rsidRDefault="00EF0572" w:rsidP="00EF0572">
            <w:pPr>
              <w:rPr>
                <w:rFonts w:eastAsia="Times New Roman" w:cstheme="minorHAnsi"/>
                <w:b/>
                <w:bCs/>
                <w:i/>
                <w:iCs/>
              </w:rPr>
            </w:pPr>
            <w:r w:rsidRPr="001533E1">
              <w:rPr>
                <w:rFonts w:asciiTheme="majorHAnsi" w:eastAsia="Times New Roman" w:hAnsiTheme="majorHAnsi" w:cstheme="majorHAnsi"/>
                <w:b/>
                <w:bCs/>
                <w:color w:val="000000"/>
                <w:lang w:eastAsia="en-AU"/>
              </w:rPr>
              <w:t>Agree</w:t>
            </w:r>
          </w:p>
        </w:tc>
        <w:tc>
          <w:tcPr>
            <w:tcW w:w="5670" w:type="dxa"/>
          </w:tcPr>
          <w:p w14:paraId="56115ADC" w14:textId="77777777" w:rsidR="0056319E" w:rsidRPr="000014B0" w:rsidRDefault="00EF0572" w:rsidP="00EF0572">
            <w:pPr>
              <w:rPr>
                <w:rFonts w:asciiTheme="majorHAnsi" w:eastAsia="Times New Roman" w:hAnsiTheme="majorHAnsi" w:cstheme="majorHAnsi"/>
                <w:i/>
                <w:iCs/>
                <w:color w:val="000000"/>
                <w:lang w:eastAsia="en-AU"/>
              </w:rPr>
            </w:pPr>
            <w:r w:rsidRPr="000014B0">
              <w:rPr>
                <w:rFonts w:asciiTheme="majorHAnsi" w:eastAsia="Times New Roman" w:hAnsiTheme="majorHAnsi" w:cstheme="majorHAnsi"/>
                <w:i/>
                <w:iCs/>
                <w:color w:val="000000"/>
                <w:lang w:eastAsia="en-AU"/>
              </w:rPr>
              <w:t xml:space="preserve">While WBW was an effective approach for health system strengthening at the provincial level, it was less successful in engagement and coordination at the national level. </w:t>
            </w:r>
          </w:p>
          <w:p w14:paraId="5198D97E" w14:textId="77777777" w:rsidR="0056319E" w:rsidRPr="000014B0" w:rsidRDefault="0056319E" w:rsidP="00EF0572">
            <w:pPr>
              <w:rPr>
                <w:rFonts w:asciiTheme="majorHAnsi" w:eastAsia="Times New Roman" w:hAnsiTheme="majorHAnsi" w:cstheme="majorHAnsi"/>
                <w:i/>
                <w:iCs/>
                <w:color w:val="000000"/>
                <w:lang w:eastAsia="en-AU"/>
              </w:rPr>
            </w:pPr>
          </w:p>
          <w:p w14:paraId="142B75B3" w14:textId="39920DD4" w:rsidR="00EF0572" w:rsidRPr="000014B0" w:rsidRDefault="00EF0572" w:rsidP="00EF0572">
            <w:pPr>
              <w:rPr>
                <w:rFonts w:asciiTheme="majorHAnsi" w:eastAsia="Times New Roman" w:hAnsiTheme="majorHAnsi" w:cstheme="majorHAnsi"/>
                <w:i/>
                <w:iCs/>
                <w:color w:val="000000"/>
                <w:lang w:eastAsia="en-AU"/>
              </w:rPr>
            </w:pPr>
            <w:r w:rsidRPr="000014B0">
              <w:rPr>
                <w:rFonts w:asciiTheme="majorHAnsi" w:eastAsia="Times New Roman" w:hAnsiTheme="majorHAnsi" w:cstheme="majorHAnsi"/>
                <w:i/>
                <w:iCs/>
                <w:color w:val="000000"/>
                <w:lang w:eastAsia="en-AU"/>
              </w:rPr>
              <w:t xml:space="preserve">National-level coordination is essential to promote financing reforms, facilitate joint planning and accountability, ensure timely funding flows from </w:t>
            </w:r>
            <w:r w:rsidR="0056319E" w:rsidRPr="000014B0">
              <w:rPr>
                <w:rFonts w:asciiTheme="majorHAnsi" w:eastAsia="Times New Roman" w:hAnsiTheme="majorHAnsi" w:cstheme="majorHAnsi"/>
                <w:i/>
                <w:iCs/>
                <w:color w:val="000000"/>
                <w:lang w:eastAsia="en-AU"/>
              </w:rPr>
              <w:t>the central agencies</w:t>
            </w:r>
            <w:r w:rsidRPr="000014B0">
              <w:rPr>
                <w:rFonts w:asciiTheme="majorHAnsi" w:eastAsia="Times New Roman" w:hAnsiTheme="majorHAnsi" w:cstheme="majorHAnsi"/>
                <w:i/>
                <w:iCs/>
                <w:color w:val="000000"/>
                <w:lang w:eastAsia="en-AU"/>
              </w:rPr>
              <w:t xml:space="preserve"> to provinces and PHAs, and to address aspects of health system strengthening that </w:t>
            </w:r>
            <w:r w:rsidR="0056319E" w:rsidRPr="000014B0">
              <w:rPr>
                <w:rFonts w:asciiTheme="majorHAnsi" w:eastAsia="Times New Roman" w:hAnsiTheme="majorHAnsi" w:cstheme="majorHAnsi"/>
                <w:i/>
                <w:iCs/>
                <w:color w:val="000000"/>
                <w:lang w:eastAsia="en-AU"/>
              </w:rPr>
              <w:t>benefit from adherence to national standards</w:t>
            </w:r>
            <w:r w:rsidRPr="000014B0">
              <w:rPr>
                <w:rFonts w:asciiTheme="majorHAnsi" w:eastAsia="Times New Roman" w:hAnsiTheme="majorHAnsi" w:cstheme="majorHAnsi"/>
                <w:i/>
                <w:iCs/>
                <w:color w:val="000000"/>
                <w:lang w:eastAsia="en-AU"/>
              </w:rPr>
              <w:t xml:space="preserve"> (</w:t>
            </w:r>
            <w:proofErr w:type="gramStart"/>
            <w:r w:rsidRPr="000014B0">
              <w:rPr>
                <w:rFonts w:asciiTheme="majorHAnsi" w:eastAsia="Times New Roman" w:hAnsiTheme="majorHAnsi" w:cstheme="majorHAnsi"/>
                <w:i/>
                <w:iCs/>
                <w:color w:val="000000"/>
                <w:lang w:eastAsia="en-AU"/>
              </w:rPr>
              <w:t>e.g.</w:t>
            </w:r>
            <w:proofErr w:type="gramEnd"/>
            <w:r w:rsidRPr="000014B0">
              <w:rPr>
                <w:rFonts w:asciiTheme="majorHAnsi" w:eastAsia="Times New Roman" w:hAnsiTheme="majorHAnsi" w:cstheme="majorHAnsi"/>
                <w:i/>
                <w:iCs/>
                <w:color w:val="000000"/>
                <w:lang w:eastAsia="en-AU"/>
              </w:rPr>
              <w:t xml:space="preserve"> medical supplies, health information systems and budget allocations). </w:t>
            </w:r>
            <w:r w:rsidR="0056319E" w:rsidRPr="000014B0">
              <w:rPr>
                <w:rFonts w:asciiTheme="majorHAnsi" w:eastAsia="Times New Roman" w:hAnsiTheme="majorHAnsi" w:cstheme="majorHAnsi"/>
                <w:i/>
                <w:iCs/>
                <w:color w:val="000000"/>
                <w:lang w:eastAsia="en-AU"/>
              </w:rPr>
              <w:t>PNG’s national coordination m</w:t>
            </w:r>
            <w:r w:rsidRPr="000014B0">
              <w:rPr>
                <w:rFonts w:asciiTheme="majorHAnsi" w:eastAsia="Times New Roman" w:hAnsiTheme="majorHAnsi" w:cstheme="majorHAnsi"/>
                <w:i/>
                <w:iCs/>
                <w:color w:val="000000"/>
                <w:lang w:eastAsia="en-AU"/>
              </w:rPr>
              <w:t>echanisms</w:t>
            </w:r>
            <w:r w:rsidR="0056319E" w:rsidRPr="000014B0">
              <w:rPr>
                <w:rFonts w:asciiTheme="majorHAnsi" w:eastAsia="Times New Roman" w:hAnsiTheme="majorHAnsi" w:cstheme="majorHAnsi"/>
                <w:i/>
                <w:iCs/>
                <w:color w:val="000000"/>
                <w:lang w:eastAsia="en-AU"/>
              </w:rPr>
              <w:t xml:space="preserve"> </w:t>
            </w:r>
            <w:r w:rsidRPr="000014B0">
              <w:rPr>
                <w:rFonts w:asciiTheme="majorHAnsi" w:eastAsia="Times New Roman" w:hAnsiTheme="majorHAnsi" w:cstheme="majorHAnsi"/>
                <w:i/>
                <w:iCs/>
                <w:color w:val="000000"/>
                <w:lang w:eastAsia="en-AU"/>
              </w:rPr>
              <w:t>such as PLLSMA, HSACC, PCMCs,</w:t>
            </w:r>
            <w:r w:rsidR="0056319E" w:rsidRPr="000014B0">
              <w:rPr>
                <w:rFonts w:asciiTheme="majorHAnsi" w:eastAsia="Times New Roman" w:hAnsiTheme="majorHAnsi" w:cstheme="majorHAnsi"/>
                <w:i/>
                <w:iCs/>
                <w:color w:val="000000"/>
                <w:lang w:eastAsia="en-AU"/>
              </w:rPr>
              <w:t xml:space="preserve"> </w:t>
            </w:r>
            <w:r w:rsidRPr="000014B0">
              <w:rPr>
                <w:rFonts w:asciiTheme="majorHAnsi" w:eastAsia="Times New Roman" w:hAnsiTheme="majorHAnsi" w:cstheme="majorHAnsi"/>
                <w:i/>
                <w:iCs/>
                <w:color w:val="000000"/>
                <w:lang w:eastAsia="en-AU"/>
              </w:rPr>
              <w:t>NEFC</w:t>
            </w:r>
            <w:r w:rsidR="0056319E" w:rsidRPr="000014B0">
              <w:rPr>
                <w:rFonts w:asciiTheme="majorHAnsi" w:eastAsia="Times New Roman" w:hAnsiTheme="majorHAnsi" w:cstheme="majorHAnsi"/>
                <w:i/>
                <w:iCs/>
                <w:color w:val="000000"/>
                <w:lang w:eastAsia="en-AU"/>
              </w:rPr>
              <w:t>,</w:t>
            </w:r>
            <w:r w:rsidRPr="000014B0">
              <w:rPr>
                <w:rFonts w:asciiTheme="majorHAnsi" w:eastAsia="Times New Roman" w:hAnsiTheme="majorHAnsi" w:cstheme="majorHAnsi"/>
                <w:i/>
                <w:iCs/>
                <w:color w:val="000000"/>
                <w:lang w:eastAsia="en-AU"/>
              </w:rPr>
              <w:t xml:space="preserve"> and others</w:t>
            </w:r>
            <w:r w:rsidR="0056319E" w:rsidRPr="000014B0">
              <w:rPr>
                <w:rFonts w:asciiTheme="majorHAnsi" w:eastAsia="Times New Roman" w:hAnsiTheme="majorHAnsi" w:cstheme="majorHAnsi"/>
                <w:i/>
                <w:iCs/>
                <w:color w:val="000000"/>
                <w:lang w:eastAsia="en-AU"/>
              </w:rPr>
              <w:t>,</w:t>
            </w:r>
            <w:r w:rsidRPr="000014B0">
              <w:rPr>
                <w:rFonts w:asciiTheme="majorHAnsi" w:eastAsia="Times New Roman" w:hAnsiTheme="majorHAnsi" w:cstheme="majorHAnsi"/>
                <w:i/>
                <w:iCs/>
                <w:color w:val="000000"/>
                <w:lang w:eastAsia="en-AU"/>
              </w:rPr>
              <w:t xml:space="preserve"> </w:t>
            </w:r>
            <w:r w:rsidR="0056319E" w:rsidRPr="000014B0">
              <w:rPr>
                <w:rFonts w:asciiTheme="majorHAnsi" w:eastAsia="Times New Roman" w:hAnsiTheme="majorHAnsi" w:cstheme="majorHAnsi"/>
                <w:i/>
                <w:iCs/>
                <w:color w:val="000000"/>
                <w:lang w:eastAsia="en-AU"/>
              </w:rPr>
              <w:t>are running at</w:t>
            </w:r>
            <w:r w:rsidRPr="000014B0">
              <w:rPr>
                <w:rFonts w:asciiTheme="majorHAnsi" w:eastAsia="Times New Roman" w:hAnsiTheme="majorHAnsi" w:cstheme="majorHAnsi"/>
                <w:i/>
                <w:iCs/>
                <w:color w:val="000000"/>
                <w:lang w:eastAsia="en-AU"/>
              </w:rPr>
              <w:t xml:space="preserve"> varying degrees of capacity and conviction. Supporting and strengthening these mechanisms should be a focus of future efforts by either the AHC </w:t>
            </w:r>
            <w:proofErr w:type="gramStart"/>
            <w:r w:rsidRPr="000014B0">
              <w:rPr>
                <w:rFonts w:asciiTheme="majorHAnsi" w:eastAsia="Times New Roman" w:hAnsiTheme="majorHAnsi" w:cstheme="majorHAnsi"/>
                <w:i/>
                <w:iCs/>
                <w:color w:val="000000"/>
                <w:lang w:eastAsia="en-AU"/>
              </w:rPr>
              <w:t>and</w:t>
            </w:r>
            <w:proofErr w:type="gramEnd"/>
            <w:r w:rsidRPr="000014B0">
              <w:rPr>
                <w:rFonts w:asciiTheme="majorHAnsi" w:eastAsia="Times New Roman" w:hAnsiTheme="majorHAnsi" w:cstheme="majorHAnsi"/>
                <w:i/>
                <w:iCs/>
                <w:color w:val="000000"/>
                <w:lang w:eastAsia="en-AU"/>
              </w:rPr>
              <w:t xml:space="preserve"> its health investments </w:t>
            </w:r>
            <w:r w:rsidR="0056319E" w:rsidRPr="000014B0">
              <w:rPr>
                <w:rFonts w:asciiTheme="majorHAnsi" w:eastAsia="Times New Roman" w:hAnsiTheme="majorHAnsi" w:cstheme="majorHAnsi"/>
                <w:i/>
                <w:iCs/>
                <w:color w:val="000000"/>
                <w:lang w:eastAsia="en-AU"/>
              </w:rPr>
              <w:t>in order to lift the functioning of</w:t>
            </w:r>
            <w:r w:rsidRPr="000014B0">
              <w:rPr>
                <w:rFonts w:asciiTheme="majorHAnsi" w:eastAsia="Times New Roman" w:hAnsiTheme="majorHAnsi" w:cstheme="majorHAnsi"/>
                <w:i/>
                <w:iCs/>
                <w:color w:val="000000"/>
                <w:lang w:eastAsia="en-AU"/>
              </w:rPr>
              <w:t xml:space="preserve"> initiatives at the sub-national level. </w:t>
            </w:r>
          </w:p>
          <w:p w14:paraId="1057E994" w14:textId="77777777" w:rsidR="00EF0572" w:rsidRPr="000014B0" w:rsidRDefault="00EF0572" w:rsidP="00EF0572">
            <w:pPr>
              <w:rPr>
                <w:rFonts w:asciiTheme="majorHAnsi" w:eastAsia="Times New Roman" w:hAnsiTheme="majorHAnsi" w:cstheme="majorHAnsi"/>
                <w:i/>
                <w:iCs/>
                <w:color w:val="000000"/>
                <w:lang w:eastAsia="en-AU"/>
              </w:rPr>
            </w:pPr>
          </w:p>
          <w:p w14:paraId="3A4D7348" w14:textId="624F1EA7" w:rsidR="00EF0572" w:rsidRPr="000014B0" w:rsidRDefault="00EF0572" w:rsidP="00EF0572">
            <w:pPr>
              <w:rPr>
                <w:rFonts w:asciiTheme="majorHAnsi" w:eastAsia="Times New Roman" w:hAnsiTheme="majorHAnsi" w:cstheme="majorHAnsi"/>
                <w:i/>
                <w:iCs/>
                <w:color w:val="000000"/>
                <w:lang w:eastAsia="en-AU"/>
              </w:rPr>
            </w:pPr>
            <w:r w:rsidRPr="000014B0">
              <w:rPr>
                <w:rFonts w:asciiTheme="majorHAnsi" w:eastAsia="Times New Roman" w:hAnsiTheme="majorHAnsi" w:cstheme="majorHAnsi"/>
                <w:i/>
                <w:iCs/>
                <w:color w:val="000000"/>
                <w:lang w:eastAsia="en-AU"/>
              </w:rPr>
              <w:t xml:space="preserve">The AHC could consider advocacy and support to GoPNG to progress the Review of Laws Affecting Health Governance and Service Delivery consultations and options paper, to advance the structural changes required to fully empower PHAs.   </w:t>
            </w:r>
          </w:p>
          <w:p w14:paraId="14EBB75C" w14:textId="39CF14AA" w:rsidR="00EF0572" w:rsidRPr="00EB0690" w:rsidRDefault="00EF0572" w:rsidP="00EF0572">
            <w:pPr>
              <w:rPr>
                <w:rFonts w:asciiTheme="majorHAnsi" w:eastAsia="Times New Roman" w:hAnsiTheme="majorHAnsi" w:cstheme="majorHAnsi"/>
                <w:color w:val="000000"/>
                <w:lang w:eastAsia="en-AU"/>
              </w:rPr>
            </w:pPr>
          </w:p>
        </w:tc>
        <w:tc>
          <w:tcPr>
            <w:tcW w:w="6238" w:type="dxa"/>
            <w:vAlign w:val="center"/>
          </w:tcPr>
          <w:p w14:paraId="74C7CBE9" w14:textId="7A1BEB64" w:rsidR="00BC3631" w:rsidRDefault="00BC3631" w:rsidP="00EF0572">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DFAT will continue to advocate for and support PNG national coordination mechanisms through </w:t>
            </w:r>
            <w:proofErr w:type="gramStart"/>
            <w:r>
              <w:rPr>
                <w:rFonts w:asciiTheme="majorHAnsi" w:eastAsia="Times New Roman" w:hAnsiTheme="majorHAnsi" w:cstheme="majorHAnsi"/>
                <w:color w:val="000000"/>
                <w:lang w:eastAsia="en-AU"/>
              </w:rPr>
              <w:t>a number of</w:t>
            </w:r>
            <w:proofErr w:type="gramEnd"/>
            <w:r>
              <w:rPr>
                <w:rFonts w:asciiTheme="majorHAnsi" w:eastAsia="Times New Roman" w:hAnsiTheme="majorHAnsi" w:cstheme="majorHAnsi"/>
                <w:color w:val="000000"/>
                <w:lang w:eastAsia="en-AU"/>
              </w:rPr>
              <w:t xml:space="preserve"> programs and forums. </w:t>
            </w:r>
          </w:p>
          <w:p w14:paraId="1C224B0C" w14:textId="77777777" w:rsidR="00AB35A8" w:rsidRDefault="00AB35A8" w:rsidP="00EF0572">
            <w:pPr>
              <w:rPr>
                <w:rFonts w:asciiTheme="majorHAnsi" w:eastAsia="Times New Roman" w:hAnsiTheme="majorHAnsi" w:cstheme="majorHAnsi"/>
                <w:color w:val="000000"/>
                <w:lang w:eastAsia="en-AU"/>
              </w:rPr>
            </w:pPr>
          </w:p>
          <w:p w14:paraId="502F6CAF" w14:textId="2390CAD4" w:rsidR="00EF0572" w:rsidRDefault="00BC3631" w:rsidP="00EF0572">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For example, t</w:t>
            </w:r>
            <w:r w:rsidR="00EF0572">
              <w:rPr>
                <w:rFonts w:asciiTheme="majorHAnsi" w:eastAsia="Times New Roman" w:hAnsiTheme="majorHAnsi" w:cstheme="majorHAnsi"/>
                <w:color w:val="000000"/>
                <w:lang w:eastAsia="en-AU"/>
              </w:rPr>
              <w:t xml:space="preserve">he PATH program is providing administrative and technical support to the </w:t>
            </w:r>
            <w:r w:rsidR="00EB0690">
              <w:rPr>
                <w:rFonts w:asciiTheme="majorHAnsi" w:eastAsia="Times New Roman" w:hAnsiTheme="majorHAnsi" w:cstheme="majorHAnsi"/>
                <w:color w:val="000000"/>
                <w:lang w:eastAsia="en-AU"/>
              </w:rPr>
              <w:t>P</w:t>
            </w:r>
            <w:r w:rsidR="00EF0572">
              <w:rPr>
                <w:rFonts w:asciiTheme="majorHAnsi" w:eastAsia="Times New Roman" w:hAnsiTheme="majorHAnsi" w:cstheme="majorHAnsi"/>
                <w:color w:val="000000"/>
                <w:lang w:eastAsia="en-AU"/>
              </w:rPr>
              <w:t xml:space="preserve">rovincial </w:t>
            </w:r>
            <w:r w:rsidR="00EB0690">
              <w:rPr>
                <w:rFonts w:asciiTheme="majorHAnsi" w:eastAsia="Times New Roman" w:hAnsiTheme="majorHAnsi" w:cstheme="majorHAnsi"/>
                <w:color w:val="000000"/>
                <w:lang w:eastAsia="en-AU"/>
              </w:rPr>
              <w:t>H</w:t>
            </w:r>
            <w:r w:rsidR="00EF0572">
              <w:rPr>
                <w:rFonts w:asciiTheme="majorHAnsi" w:eastAsia="Times New Roman" w:hAnsiTheme="majorHAnsi" w:cstheme="majorHAnsi"/>
                <w:color w:val="000000"/>
                <w:lang w:eastAsia="en-AU"/>
              </w:rPr>
              <w:t xml:space="preserve">ealth </w:t>
            </w:r>
            <w:r w:rsidR="00EB0690">
              <w:rPr>
                <w:rFonts w:asciiTheme="majorHAnsi" w:eastAsia="Times New Roman" w:hAnsiTheme="majorHAnsi" w:cstheme="majorHAnsi"/>
                <w:color w:val="000000"/>
                <w:lang w:eastAsia="en-AU"/>
              </w:rPr>
              <w:t>A</w:t>
            </w:r>
            <w:r w:rsidR="00EF0572">
              <w:rPr>
                <w:rFonts w:asciiTheme="majorHAnsi" w:eastAsia="Times New Roman" w:hAnsiTheme="majorHAnsi" w:cstheme="majorHAnsi"/>
                <w:color w:val="000000"/>
                <w:lang w:eastAsia="en-AU"/>
              </w:rPr>
              <w:t>uthorities (PHA</w:t>
            </w:r>
            <w:r w:rsidR="00EA32AE">
              <w:rPr>
                <w:rFonts w:asciiTheme="majorHAnsi" w:eastAsia="Times New Roman" w:hAnsiTheme="majorHAnsi" w:cstheme="majorHAnsi"/>
                <w:color w:val="000000"/>
                <w:lang w:eastAsia="en-AU"/>
              </w:rPr>
              <w:t>s</w:t>
            </w:r>
            <w:r w:rsidR="00EF0572">
              <w:rPr>
                <w:rFonts w:asciiTheme="majorHAnsi" w:eastAsia="Times New Roman" w:hAnsiTheme="majorHAnsi" w:cstheme="majorHAnsi"/>
                <w:color w:val="000000"/>
                <w:lang w:eastAsia="en-AU"/>
              </w:rPr>
              <w:t xml:space="preserve">) in six demonstration provinces to strengthen health management and service delivery. This support includes strengthening PHA capacity to build and manage partnerships, including with central agencies. </w:t>
            </w:r>
          </w:p>
          <w:p w14:paraId="49E2199C" w14:textId="77777777" w:rsidR="00BC3631" w:rsidRDefault="00BC3631" w:rsidP="00EF0572">
            <w:pPr>
              <w:rPr>
                <w:rFonts w:asciiTheme="majorHAnsi" w:eastAsia="Times New Roman" w:hAnsiTheme="majorHAnsi" w:cstheme="majorHAnsi"/>
                <w:color w:val="000000"/>
                <w:lang w:eastAsia="en-AU"/>
              </w:rPr>
            </w:pPr>
          </w:p>
          <w:p w14:paraId="5594912B" w14:textId="77777777" w:rsidR="00EB0690" w:rsidRDefault="00EB0690" w:rsidP="00EB0690">
            <w:pPr>
              <w:rPr>
                <w:rFonts w:asciiTheme="majorHAnsi" w:eastAsia="Times New Roman" w:hAnsiTheme="majorHAnsi" w:cstheme="majorHAnsi"/>
                <w:color w:val="000000"/>
                <w:lang w:eastAsia="en-AU"/>
              </w:rPr>
            </w:pPr>
            <w:r w:rsidRPr="006804AC">
              <w:rPr>
                <w:rFonts w:asciiTheme="majorHAnsi" w:eastAsia="Times New Roman" w:hAnsiTheme="majorHAnsi" w:cstheme="majorHAnsi"/>
                <w:color w:val="000000"/>
                <w:lang w:eastAsia="en-AU"/>
              </w:rPr>
              <w:t xml:space="preserve">PATH provincial facilitators support PHA corporate planning and policy dialogue with central agencies, including </w:t>
            </w:r>
            <w:r>
              <w:rPr>
                <w:rFonts w:asciiTheme="majorHAnsi" w:eastAsia="Times New Roman" w:hAnsiTheme="majorHAnsi" w:cstheme="majorHAnsi"/>
                <w:color w:val="000000"/>
                <w:lang w:eastAsia="en-AU"/>
              </w:rPr>
              <w:t xml:space="preserve">with NDoH and Departments of Treasury and Finance. </w:t>
            </w:r>
            <w:r w:rsidRPr="006804AC">
              <w:rPr>
                <w:rFonts w:asciiTheme="majorHAnsi" w:eastAsia="Times New Roman" w:hAnsiTheme="majorHAnsi" w:cstheme="majorHAnsi"/>
                <w:color w:val="000000"/>
                <w:lang w:eastAsia="en-AU"/>
              </w:rPr>
              <w:t xml:space="preserve">PATH has commenced planning </w:t>
            </w:r>
            <w:r>
              <w:rPr>
                <w:rFonts w:asciiTheme="majorHAnsi" w:eastAsia="Times New Roman" w:hAnsiTheme="majorHAnsi" w:cstheme="majorHAnsi"/>
                <w:color w:val="000000"/>
                <w:lang w:eastAsia="en-AU"/>
              </w:rPr>
              <w:t>a workstream to reduce ‘bottlenecks’ in provincial service delivery which will include national-level engagement to reduce the impact of inadequate funding, untimely release and unpredictable flow of funds.</w:t>
            </w:r>
          </w:p>
          <w:p w14:paraId="3F920725" w14:textId="77777777" w:rsidR="00EB0690" w:rsidRDefault="00EB0690" w:rsidP="00EB0690">
            <w:pPr>
              <w:rPr>
                <w:rFonts w:asciiTheme="majorHAnsi" w:eastAsia="Times New Roman" w:hAnsiTheme="majorHAnsi" w:cstheme="majorHAnsi"/>
                <w:color w:val="000000"/>
                <w:lang w:eastAsia="en-AU"/>
              </w:rPr>
            </w:pPr>
          </w:p>
          <w:p w14:paraId="4EFDDBBE" w14:textId="1E25604D" w:rsidR="00EF0572" w:rsidRDefault="00BC3631" w:rsidP="00EF0572">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Additionally, through t</w:t>
            </w:r>
            <w:r w:rsidR="00EF0572">
              <w:rPr>
                <w:rFonts w:asciiTheme="majorHAnsi" w:eastAsia="Times New Roman" w:hAnsiTheme="majorHAnsi" w:cstheme="majorHAnsi"/>
                <w:color w:val="000000"/>
                <w:lang w:eastAsia="en-AU"/>
              </w:rPr>
              <w:t xml:space="preserve">he </w:t>
            </w:r>
            <w:r w:rsidR="00330086">
              <w:rPr>
                <w:rFonts w:asciiTheme="majorHAnsi" w:eastAsia="Times New Roman" w:hAnsiTheme="majorHAnsi" w:cstheme="majorHAnsi"/>
                <w:color w:val="000000"/>
                <w:lang w:eastAsia="en-AU"/>
              </w:rPr>
              <w:t>Health Systems Strengthening Development Program (</w:t>
            </w:r>
            <w:r w:rsidR="00EF0572">
              <w:rPr>
                <w:rFonts w:asciiTheme="majorHAnsi" w:eastAsia="Times New Roman" w:hAnsiTheme="majorHAnsi" w:cstheme="majorHAnsi"/>
                <w:color w:val="000000"/>
                <w:lang w:eastAsia="en-AU"/>
              </w:rPr>
              <w:t>HSSDP</w:t>
            </w:r>
            <w:r w:rsidR="00330086">
              <w:rPr>
                <w:rFonts w:asciiTheme="majorHAnsi" w:eastAsia="Times New Roman" w:hAnsiTheme="majorHAnsi" w:cstheme="majorHAnsi"/>
                <w:color w:val="000000"/>
                <w:lang w:eastAsia="en-AU"/>
              </w:rPr>
              <w:t>),</w:t>
            </w:r>
            <w:r w:rsidR="00EF0572">
              <w:rPr>
                <w:rFonts w:asciiTheme="majorHAnsi" w:eastAsia="Times New Roman" w:hAnsiTheme="majorHAnsi" w:cstheme="majorHAnsi"/>
                <w:color w:val="000000"/>
                <w:lang w:eastAsia="en-AU"/>
              </w:rPr>
              <w:t xml:space="preserve"> </w:t>
            </w:r>
            <w:r w:rsidR="00330086">
              <w:rPr>
                <w:rFonts w:asciiTheme="majorHAnsi" w:eastAsia="Times New Roman" w:hAnsiTheme="majorHAnsi" w:cstheme="majorHAnsi"/>
                <w:color w:val="000000"/>
                <w:lang w:eastAsia="en-AU"/>
              </w:rPr>
              <w:t xml:space="preserve">a </w:t>
            </w:r>
            <w:r w:rsidR="00EF0572">
              <w:rPr>
                <w:rFonts w:asciiTheme="majorHAnsi" w:eastAsia="Times New Roman" w:hAnsiTheme="majorHAnsi" w:cstheme="majorHAnsi"/>
                <w:color w:val="000000"/>
                <w:lang w:eastAsia="en-AU"/>
              </w:rPr>
              <w:t>DFAT and ADB partnership</w:t>
            </w:r>
            <w:r w:rsidR="00330086">
              <w:rPr>
                <w:rFonts w:asciiTheme="majorHAnsi" w:eastAsia="Times New Roman" w:hAnsiTheme="majorHAnsi" w:cstheme="majorHAnsi"/>
                <w:color w:val="000000"/>
                <w:lang w:eastAsia="en-AU"/>
              </w:rPr>
              <w:t>,</w:t>
            </w:r>
            <w:r w:rsidR="00EF0572">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 xml:space="preserve">DFAT aims to </w:t>
            </w:r>
            <w:r w:rsidR="00EF0572" w:rsidRPr="001533E1">
              <w:rPr>
                <w:rFonts w:asciiTheme="majorHAnsi" w:eastAsia="Times New Roman" w:hAnsiTheme="majorHAnsi" w:cstheme="majorHAnsi"/>
                <w:color w:val="000000"/>
                <w:lang w:eastAsia="en-AU"/>
              </w:rPr>
              <w:t xml:space="preserve">strengthen overarching </w:t>
            </w:r>
            <w:r w:rsidR="0056319E">
              <w:rPr>
                <w:rFonts w:asciiTheme="majorHAnsi" w:eastAsia="Times New Roman" w:hAnsiTheme="majorHAnsi" w:cstheme="majorHAnsi"/>
                <w:color w:val="000000"/>
                <w:lang w:eastAsia="en-AU"/>
              </w:rPr>
              <w:t>n</w:t>
            </w:r>
            <w:r w:rsidR="00EF0572" w:rsidRPr="001533E1">
              <w:rPr>
                <w:rFonts w:asciiTheme="majorHAnsi" w:eastAsia="Times New Roman" w:hAnsiTheme="majorHAnsi" w:cstheme="majorHAnsi"/>
                <w:color w:val="000000"/>
                <w:lang w:eastAsia="en-AU"/>
              </w:rPr>
              <w:t xml:space="preserve">ational regulatory, policy and planning frameworks and public finance management systems. </w:t>
            </w:r>
            <w:r>
              <w:rPr>
                <w:rFonts w:asciiTheme="majorHAnsi" w:eastAsia="Times New Roman" w:hAnsiTheme="majorHAnsi" w:cstheme="majorHAnsi"/>
                <w:color w:val="000000"/>
                <w:lang w:eastAsia="en-AU"/>
              </w:rPr>
              <w:t>DFAT</w:t>
            </w:r>
            <w:r w:rsidR="00EA32AE">
              <w:rPr>
                <w:rFonts w:asciiTheme="majorHAnsi" w:eastAsia="Times New Roman" w:hAnsiTheme="majorHAnsi" w:cstheme="majorHAnsi"/>
                <w:color w:val="000000"/>
                <w:lang w:eastAsia="en-AU"/>
              </w:rPr>
              <w:t xml:space="preserve"> </w:t>
            </w:r>
            <w:r w:rsidR="00EF0572" w:rsidRPr="001533E1">
              <w:rPr>
                <w:rFonts w:asciiTheme="majorHAnsi" w:eastAsia="Times New Roman" w:hAnsiTheme="majorHAnsi" w:cstheme="majorHAnsi"/>
                <w:color w:val="000000"/>
                <w:lang w:eastAsia="en-AU"/>
              </w:rPr>
              <w:t>aim</w:t>
            </w:r>
            <w:r>
              <w:rPr>
                <w:rFonts w:asciiTheme="majorHAnsi" w:eastAsia="Times New Roman" w:hAnsiTheme="majorHAnsi" w:cstheme="majorHAnsi"/>
                <w:color w:val="000000"/>
                <w:lang w:eastAsia="en-AU"/>
              </w:rPr>
              <w:t>s</w:t>
            </w:r>
            <w:r w:rsidR="00EF0572" w:rsidRPr="001533E1">
              <w:rPr>
                <w:rFonts w:asciiTheme="majorHAnsi" w:eastAsia="Times New Roman" w:hAnsiTheme="majorHAnsi" w:cstheme="majorHAnsi"/>
                <w:color w:val="000000"/>
                <w:lang w:eastAsia="en-AU"/>
              </w:rPr>
              <w:t xml:space="preserve"> to provide the foundation for efficient, effective, and long-term sustainable health service delivery through improved fiscal and budgetary management, budget execution including public procurement</w:t>
            </w:r>
            <w:r w:rsidR="0056319E">
              <w:rPr>
                <w:rFonts w:asciiTheme="majorHAnsi" w:eastAsia="Times New Roman" w:hAnsiTheme="majorHAnsi" w:cstheme="majorHAnsi"/>
                <w:color w:val="000000"/>
                <w:lang w:eastAsia="en-AU"/>
              </w:rPr>
              <w:t>,</w:t>
            </w:r>
            <w:r w:rsidR="00EF0572" w:rsidRPr="001533E1">
              <w:rPr>
                <w:rFonts w:asciiTheme="majorHAnsi" w:eastAsia="Times New Roman" w:hAnsiTheme="majorHAnsi" w:cstheme="majorHAnsi"/>
                <w:color w:val="000000"/>
                <w:lang w:eastAsia="en-AU"/>
              </w:rPr>
              <w:t xml:space="preserve"> and health sector management. </w:t>
            </w:r>
          </w:p>
          <w:p w14:paraId="1AEC2CF6" w14:textId="71859BAD" w:rsidR="002E0F10" w:rsidRDefault="002E0F10" w:rsidP="00EF0572">
            <w:pPr>
              <w:rPr>
                <w:rFonts w:asciiTheme="majorHAnsi" w:eastAsia="Times New Roman" w:hAnsiTheme="majorHAnsi" w:cstheme="majorHAnsi"/>
                <w:color w:val="000000"/>
                <w:lang w:eastAsia="en-AU"/>
              </w:rPr>
            </w:pPr>
          </w:p>
          <w:p w14:paraId="4812CC86" w14:textId="1D3A7B51" w:rsidR="002E0F10" w:rsidRPr="001533E1" w:rsidRDefault="00EB0690" w:rsidP="00EF0572">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T</w:t>
            </w:r>
            <w:r w:rsidR="002E0F10" w:rsidRPr="00EB0690">
              <w:rPr>
                <w:rFonts w:asciiTheme="majorHAnsi" w:eastAsia="Times New Roman" w:hAnsiTheme="majorHAnsi" w:cstheme="majorHAnsi"/>
                <w:color w:val="000000"/>
                <w:lang w:eastAsia="en-AU"/>
              </w:rPr>
              <w:t xml:space="preserve">hrough HSSDP, </w:t>
            </w:r>
            <w:r>
              <w:rPr>
                <w:rFonts w:asciiTheme="majorHAnsi" w:eastAsia="Times New Roman" w:hAnsiTheme="majorHAnsi" w:cstheme="majorHAnsi"/>
                <w:color w:val="000000"/>
                <w:lang w:eastAsia="en-AU"/>
              </w:rPr>
              <w:t xml:space="preserve">DFAT is also </w:t>
            </w:r>
            <w:r w:rsidR="002E0F10" w:rsidRPr="00EB0690">
              <w:rPr>
                <w:rFonts w:asciiTheme="majorHAnsi" w:eastAsia="Times New Roman" w:hAnsiTheme="majorHAnsi" w:cstheme="majorHAnsi"/>
                <w:color w:val="000000"/>
                <w:lang w:eastAsia="en-AU"/>
              </w:rPr>
              <w:t>providing targeted specialist technical support to the</w:t>
            </w:r>
            <w:r>
              <w:rPr>
                <w:rFonts w:asciiTheme="majorHAnsi" w:eastAsia="Times New Roman" w:hAnsiTheme="majorHAnsi" w:cstheme="majorHAnsi"/>
                <w:color w:val="000000"/>
                <w:lang w:eastAsia="en-AU"/>
              </w:rPr>
              <w:t xml:space="preserve"> National Department of Health</w:t>
            </w:r>
            <w:r w:rsidR="002E0F10" w:rsidRPr="00EB0690">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w:t>
            </w:r>
            <w:proofErr w:type="spellStart"/>
            <w:r w:rsidR="002E0F10" w:rsidRPr="00EB0690">
              <w:rPr>
                <w:rFonts w:asciiTheme="majorHAnsi" w:eastAsia="Times New Roman" w:hAnsiTheme="majorHAnsi" w:cstheme="majorHAnsi"/>
                <w:color w:val="000000"/>
                <w:lang w:eastAsia="en-AU"/>
              </w:rPr>
              <w:t>NDoH</w:t>
            </w:r>
            <w:proofErr w:type="spellEnd"/>
            <w:r>
              <w:rPr>
                <w:rFonts w:asciiTheme="majorHAnsi" w:eastAsia="Times New Roman" w:hAnsiTheme="majorHAnsi" w:cstheme="majorHAnsi"/>
                <w:color w:val="000000"/>
                <w:lang w:eastAsia="en-AU"/>
              </w:rPr>
              <w:t>)</w:t>
            </w:r>
            <w:r w:rsidR="002E0F10" w:rsidRPr="00EB0690">
              <w:rPr>
                <w:rFonts w:asciiTheme="majorHAnsi" w:eastAsia="Times New Roman" w:hAnsiTheme="majorHAnsi" w:cstheme="majorHAnsi"/>
                <w:color w:val="000000"/>
                <w:lang w:eastAsia="en-AU"/>
              </w:rPr>
              <w:t xml:space="preserve"> in policy and national coordination areas including budget management, information management systems and procurement of pharmaceuticals</w:t>
            </w:r>
          </w:p>
          <w:p w14:paraId="71766048" w14:textId="655895AD" w:rsidR="00EF0572" w:rsidRPr="001533E1" w:rsidRDefault="00EF0572" w:rsidP="00EF0572">
            <w:pPr>
              <w:rPr>
                <w:rFonts w:asciiTheme="majorHAnsi" w:eastAsia="Times New Roman" w:hAnsiTheme="majorHAnsi" w:cstheme="majorHAnsi"/>
                <w:color w:val="000000"/>
                <w:lang w:eastAsia="en-AU"/>
              </w:rPr>
            </w:pPr>
          </w:p>
          <w:p w14:paraId="127300DE" w14:textId="361ECAE3" w:rsidR="00EF0572" w:rsidRPr="001533E1" w:rsidRDefault="00EF0572" w:rsidP="00EF0572">
            <w:pPr>
              <w:rPr>
                <w:rFonts w:asciiTheme="majorHAnsi" w:eastAsia="Times New Roman" w:hAnsiTheme="majorHAnsi" w:cstheme="majorHAnsi"/>
                <w:color w:val="000000"/>
                <w:lang w:eastAsia="en-AU"/>
              </w:rPr>
            </w:pPr>
            <w:r w:rsidRPr="001533E1">
              <w:rPr>
                <w:rFonts w:asciiTheme="majorHAnsi" w:eastAsia="Times New Roman" w:hAnsiTheme="majorHAnsi" w:cstheme="majorHAnsi"/>
                <w:color w:val="000000"/>
                <w:lang w:eastAsia="en-AU"/>
              </w:rPr>
              <w:t xml:space="preserve">DFAT </w:t>
            </w:r>
            <w:r w:rsidR="00EB0690">
              <w:rPr>
                <w:rFonts w:asciiTheme="majorHAnsi" w:eastAsia="Times New Roman" w:hAnsiTheme="majorHAnsi" w:cstheme="majorHAnsi"/>
                <w:color w:val="000000"/>
                <w:lang w:eastAsia="en-AU"/>
              </w:rPr>
              <w:t>is currently considering</w:t>
            </w:r>
            <w:r w:rsidRPr="001533E1">
              <w:rPr>
                <w:rFonts w:asciiTheme="majorHAnsi" w:eastAsia="Times New Roman" w:hAnsiTheme="majorHAnsi" w:cstheme="majorHAnsi"/>
                <w:color w:val="000000"/>
                <w:lang w:eastAsia="en-AU"/>
              </w:rPr>
              <w:t xml:space="preserve"> the provision of technical support to the </w:t>
            </w:r>
            <w:proofErr w:type="spellStart"/>
            <w:r w:rsidRPr="001533E1">
              <w:rPr>
                <w:rFonts w:asciiTheme="majorHAnsi" w:eastAsia="Times New Roman" w:hAnsiTheme="majorHAnsi" w:cstheme="majorHAnsi"/>
                <w:color w:val="000000"/>
                <w:lang w:eastAsia="en-AU"/>
              </w:rPr>
              <w:t>NDoH</w:t>
            </w:r>
            <w:proofErr w:type="spellEnd"/>
            <w:r w:rsidRPr="001533E1">
              <w:rPr>
                <w:rFonts w:asciiTheme="majorHAnsi" w:eastAsia="Times New Roman" w:hAnsiTheme="majorHAnsi" w:cstheme="majorHAnsi"/>
                <w:color w:val="000000"/>
                <w:lang w:eastAsia="en-AU"/>
              </w:rPr>
              <w:t xml:space="preserve"> </w:t>
            </w:r>
            <w:r w:rsidR="002E0F10">
              <w:rPr>
                <w:rFonts w:asciiTheme="majorHAnsi" w:eastAsia="Times New Roman" w:hAnsiTheme="majorHAnsi" w:cstheme="majorHAnsi"/>
                <w:color w:val="000000"/>
                <w:lang w:eastAsia="en-AU"/>
              </w:rPr>
              <w:t>to</w:t>
            </w:r>
            <w:r w:rsidRPr="001533E1">
              <w:rPr>
                <w:rFonts w:asciiTheme="majorHAnsi" w:eastAsia="Times New Roman" w:hAnsiTheme="majorHAnsi" w:cstheme="majorHAnsi"/>
                <w:color w:val="000000"/>
                <w:lang w:eastAsia="en-AU"/>
              </w:rPr>
              <w:t xml:space="preserve"> review </w:t>
            </w:r>
            <w:r w:rsidR="002E0F10">
              <w:rPr>
                <w:rFonts w:asciiTheme="majorHAnsi" w:eastAsia="Times New Roman" w:hAnsiTheme="majorHAnsi" w:cstheme="majorHAnsi"/>
                <w:color w:val="000000"/>
                <w:lang w:eastAsia="en-AU"/>
              </w:rPr>
              <w:t xml:space="preserve">the </w:t>
            </w:r>
            <w:r w:rsidRPr="001533E1">
              <w:rPr>
                <w:rFonts w:asciiTheme="majorHAnsi" w:eastAsia="Times New Roman" w:hAnsiTheme="majorHAnsi" w:cstheme="majorHAnsi"/>
                <w:color w:val="000000"/>
                <w:lang w:eastAsia="en-AU"/>
              </w:rPr>
              <w:t>laws affecting health governance and service delivery.</w:t>
            </w:r>
          </w:p>
          <w:p w14:paraId="51A378A2" w14:textId="0A135A6E" w:rsidR="00EF0572" w:rsidRPr="00EB0690" w:rsidRDefault="00EF0572" w:rsidP="00EF0572">
            <w:pPr>
              <w:rPr>
                <w:rFonts w:asciiTheme="majorHAnsi" w:eastAsia="Times New Roman" w:hAnsiTheme="majorHAnsi" w:cstheme="majorHAnsi"/>
                <w:color w:val="000000"/>
                <w:lang w:eastAsia="en-AU"/>
              </w:rPr>
            </w:pPr>
          </w:p>
        </w:tc>
        <w:tc>
          <w:tcPr>
            <w:tcW w:w="2979" w:type="dxa"/>
            <w:vAlign w:val="center"/>
          </w:tcPr>
          <w:p w14:paraId="0757BA31" w14:textId="4B093EE2" w:rsidR="00EF0572" w:rsidRPr="006B0640" w:rsidRDefault="00EF0572" w:rsidP="00EF0572">
            <w:pPr>
              <w:rPr>
                <w:rFonts w:asciiTheme="majorHAnsi" w:hAnsiTheme="majorHAnsi" w:cstheme="majorHAnsi"/>
              </w:rPr>
            </w:pPr>
            <w:r>
              <w:rPr>
                <w:rFonts w:asciiTheme="majorHAnsi" w:eastAsia="Times New Roman" w:hAnsiTheme="majorHAnsi" w:cstheme="majorHAnsi"/>
                <w:color w:val="000000"/>
                <w:lang w:eastAsia="en-AU"/>
              </w:rPr>
              <w:t>Ongoing until 2025</w:t>
            </w:r>
          </w:p>
        </w:tc>
      </w:tr>
      <w:tr w:rsidR="00EF0572" w:rsidRPr="006B0640" w14:paraId="094DBD8B" w14:textId="77777777" w:rsidTr="001533E1">
        <w:tc>
          <w:tcPr>
            <w:tcW w:w="3964" w:type="dxa"/>
            <w:vAlign w:val="center"/>
          </w:tcPr>
          <w:p w14:paraId="7DA64204" w14:textId="77777777" w:rsidR="00EF0572" w:rsidRDefault="00EF0572" w:rsidP="00EF0572">
            <w:pPr>
              <w:rPr>
                <w:rFonts w:asciiTheme="majorHAnsi" w:eastAsia="Times New Roman" w:hAnsiTheme="majorHAnsi" w:cstheme="majorHAnsi"/>
                <w:b/>
                <w:bCs/>
                <w:color w:val="000000"/>
                <w:lang w:eastAsia="en-AU"/>
              </w:rPr>
            </w:pPr>
          </w:p>
          <w:p w14:paraId="3718BC43" w14:textId="77777777" w:rsidR="00F10C67" w:rsidRDefault="0043752F" w:rsidP="00EF0572">
            <w:pPr>
              <w:rPr>
                <w:rFonts w:asciiTheme="majorHAnsi" w:eastAsia="Times New Roman" w:hAnsiTheme="majorHAnsi" w:cstheme="majorHAnsi"/>
                <w:b/>
                <w:bCs/>
                <w:color w:val="000000"/>
                <w:lang w:eastAsia="en-AU"/>
              </w:rPr>
            </w:pPr>
            <w:r>
              <w:rPr>
                <w:rFonts w:asciiTheme="majorHAnsi" w:eastAsia="Times New Roman" w:hAnsiTheme="majorHAnsi" w:cstheme="majorHAnsi"/>
                <w:b/>
                <w:bCs/>
                <w:color w:val="000000"/>
                <w:lang w:eastAsia="en-AU"/>
              </w:rPr>
              <w:t>Recommendation</w:t>
            </w:r>
            <w:r w:rsidRPr="006B0640">
              <w:rPr>
                <w:rFonts w:asciiTheme="majorHAnsi" w:eastAsia="Times New Roman" w:hAnsiTheme="majorHAnsi" w:cstheme="majorHAnsi"/>
                <w:b/>
                <w:bCs/>
                <w:color w:val="000000"/>
                <w:lang w:eastAsia="en-AU"/>
              </w:rPr>
              <w:t xml:space="preserve"> </w:t>
            </w:r>
            <w:r w:rsidR="00EF0572" w:rsidRPr="006414AA">
              <w:rPr>
                <w:rFonts w:asciiTheme="majorHAnsi" w:eastAsia="Times New Roman" w:hAnsiTheme="majorHAnsi" w:cstheme="majorHAnsi"/>
                <w:b/>
                <w:bCs/>
                <w:color w:val="000000"/>
                <w:lang w:eastAsia="en-AU"/>
              </w:rPr>
              <w:t>2: </w:t>
            </w:r>
          </w:p>
          <w:p w14:paraId="66398153" w14:textId="193F93E0" w:rsidR="00EF0572" w:rsidRPr="006414AA" w:rsidRDefault="00EF0572" w:rsidP="00EF0572">
            <w:pPr>
              <w:rPr>
                <w:rFonts w:asciiTheme="majorHAnsi" w:eastAsia="Times New Roman" w:hAnsiTheme="majorHAnsi" w:cstheme="majorHAnsi"/>
                <w:b/>
                <w:bCs/>
                <w:color w:val="000000"/>
                <w:lang w:eastAsia="en-AU"/>
              </w:rPr>
            </w:pPr>
            <w:r w:rsidRPr="000014B0">
              <w:rPr>
                <w:rFonts w:eastAsia="Times New Roman" w:cstheme="minorHAnsi"/>
                <w:b/>
              </w:rPr>
              <w:t>OSF and other investment partners, when developing health systems strengthening programs, should ensure that designs and implementation are closely aligned with the WHO six pillars of health system strengthening principles, where appropriate. This c</w:t>
            </w:r>
            <w:r w:rsidR="0056319E" w:rsidRPr="000014B0">
              <w:rPr>
                <w:rFonts w:eastAsia="Times New Roman" w:cstheme="minorHAnsi"/>
                <w:b/>
              </w:rPr>
              <w:t>an</w:t>
            </w:r>
            <w:r w:rsidRPr="000014B0">
              <w:rPr>
                <w:rFonts w:eastAsia="Times New Roman" w:cstheme="minorHAnsi"/>
                <w:b/>
              </w:rPr>
              <w:t xml:space="preserve"> be achieved, for example, by framing the design document and program logic </w:t>
            </w:r>
            <w:r w:rsidRPr="000014B0">
              <w:rPr>
                <w:rFonts w:eastAsia="Times New Roman" w:cstheme="minorHAnsi"/>
                <w:b/>
              </w:rPr>
              <w:lastRenderedPageBreak/>
              <w:t xml:space="preserve">around the relevant pillars, engaging technical experts in health system strengthening to advise on the design, and aligning existing investment planning, </w:t>
            </w:r>
            <w:proofErr w:type="gramStart"/>
            <w:r w:rsidRPr="000014B0">
              <w:rPr>
                <w:rFonts w:eastAsia="Times New Roman" w:cstheme="minorHAnsi"/>
                <w:b/>
              </w:rPr>
              <w:t>implementation</w:t>
            </w:r>
            <w:proofErr w:type="gramEnd"/>
            <w:r w:rsidRPr="000014B0">
              <w:rPr>
                <w:rFonts w:eastAsia="Times New Roman" w:cstheme="minorHAnsi"/>
                <w:b/>
              </w:rPr>
              <w:t xml:space="preserve"> and progress reporting to the principles of each pillar, where possible.</w:t>
            </w:r>
          </w:p>
        </w:tc>
        <w:tc>
          <w:tcPr>
            <w:tcW w:w="1701" w:type="dxa"/>
            <w:vAlign w:val="center"/>
          </w:tcPr>
          <w:p w14:paraId="24A4CA47" w14:textId="761AD4F8" w:rsidR="00EF0572" w:rsidRPr="001533E1" w:rsidRDefault="00EF0572" w:rsidP="00EF0572">
            <w:pPr>
              <w:rPr>
                <w:rFonts w:asciiTheme="majorHAnsi" w:eastAsia="Times New Roman" w:hAnsiTheme="majorHAnsi" w:cstheme="majorHAnsi"/>
                <w:b/>
                <w:bCs/>
                <w:i/>
                <w:iCs/>
                <w:color w:val="000000"/>
                <w:lang w:eastAsia="en-AU"/>
              </w:rPr>
            </w:pPr>
            <w:r w:rsidRPr="001533E1">
              <w:rPr>
                <w:rFonts w:asciiTheme="majorHAnsi" w:eastAsia="Times New Roman" w:hAnsiTheme="majorHAnsi" w:cstheme="majorHAnsi"/>
                <w:b/>
                <w:bCs/>
                <w:color w:val="000000"/>
                <w:lang w:eastAsia="en-AU"/>
              </w:rPr>
              <w:lastRenderedPageBreak/>
              <w:t>Agree</w:t>
            </w:r>
            <w:r w:rsidR="00EB0690">
              <w:rPr>
                <w:rFonts w:asciiTheme="majorHAnsi" w:eastAsia="Times New Roman" w:hAnsiTheme="majorHAnsi" w:cstheme="majorHAnsi"/>
                <w:b/>
                <w:bCs/>
                <w:color w:val="000000"/>
                <w:lang w:eastAsia="en-AU"/>
              </w:rPr>
              <w:t xml:space="preserve"> in part</w:t>
            </w:r>
          </w:p>
        </w:tc>
        <w:tc>
          <w:tcPr>
            <w:tcW w:w="5670" w:type="dxa"/>
          </w:tcPr>
          <w:p w14:paraId="6466163E" w14:textId="77777777" w:rsidR="00254E1F" w:rsidRDefault="00254E1F" w:rsidP="00EF0572">
            <w:pPr>
              <w:rPr>
                <w:rFonts w:asciiTheme="majorHAnsi" w:eastAsia="Times New Roman" w:hAnsiTheme="majorHAnsi" w:cstheme="majorHAnsi"/>
                <w:i/>
                <w:iCs/>
                <w:color w:val="000000"/>
                <w:lang w:eastAsia="en-AU"/>
              </w:rPr>
            </w:pPr>
          </w:p>
          <w:p w14:paraId="5965CEA2" w14:textId="06E398B5" w:rsidR="00EF0572" w:rsidRPr="00A85748" w:rsidRDefault="00EF0572" w:rsidP="00EF0572">
            <w:pPr>
              <w:rPr>
                <w:rFonts w:asciiTheme="majorHAnsi" w:eastAsia="Times New Roman" w:hAnsiTheme="majorHAnsi" w:cstheme="majorHAnsi"/>
                <w:i/>
                <w:iCs/>
                <w:color w:val="000000"/>
                <w:lang w:eastAsia="en-AU"/>
              </w:rPr>
            </w:pPr>
            <w:r w:rsidRPr="00A85748">
              <w:rPr>
                <w:rFonts w:asciiTheme="majorHAnsi" w:eastAsia="Times New Roman" w:hAnsiTheme="majorHAnsi" w:cstheme="majorHAnsi"/>
                <w:i/>
                <w:iCs/>
                <w:color w:val="000000"/>
                <w:lang w:eastAsia="en-AU"/>
              </w:rPr>
              <w:t xml:space="preserve">While WBW aimed to strengthen the health system in Hela and Southern Highlands PHAs, it did not systematically address all six WHO pillars of health system strengthening. The WHO six pillars are the standard framework and approach for health system strengthening, and all six pillars are fundamental for a functioning health system. WBW targeted and contributed to accelerating positive changes in some key health system pillars – particularly in sub national financing, service delivery, staff capacity and leadership and governance. However, WBW implemented few activities in </w:t>
            </w:r>
            <w:r w:rsidRPr="00A85748">
              <w:rPr>
                <w:rFonts w:asciiTheme="majorHAnsi" w:eastAsia="Times New Roman" w:hAnsiTheme="majorHAnsi" w:cstheme="majorHAnsi"/>
                <w:i/>
                <w:iCs/>
                <w:color w:val="000000"/>
                <w:lang w:eastAsia="en-AU"/>
              </w:rPr>
              <w:lastRenderedPageBreak/>
              <w:t xml:space="preserve">the other two health system pillars (access to medical products and technologies, and health information systems), largely because these are coordinated at the national level, where WBW’s engagement was limited. </w:t>
            </w:r>
          </w:p>
          <w:p w14:paraId="2B146A84" w14:textId="1ACB1683" w:rsidR="00EF0572" w:rsidRPr="00A85748" w:rsidRDefault="00EF0572" w:rsidP="00EF0572">
            <w:pPr>
              <w:rPr>
                <w:rFonts w:asciiTheme="majorHAnsi" w:eastAsia="Times New Roman" w:hAnsiTheme="majorHAnsi" w:cstheme="majorHAnsi"/>
                <w:i/>
                <w:iCs/>
                <w:color w:val="000000"/>
                <w:lang w:eastAsia="en-AU"/>
              </w:rPr>
            </w:pPr>
          </w:p>
        </w:tc>
        <w:tc>
          <w:tcPr>
            <w:tcW w:w="6238" w:type="dxa"/>
            <w:shd w:val="clear" w:color="auto" w:fill="auto"/>
            <w:vAlign w:val="center"/>
          </w:tcPr>
          <w:p w14:paraId="7B4C28BC" w14:textId="1C88904D" w:rsidR="0003435E" w:rsidRDefault="00BC3631" w:rsidP="00EF0572">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lastRenderedPageBreak/>
              <w:t xml:space="preserve">DFAT </w:t>
            </w:r>
            <w:r w:rsidR="00AA5AE3">
              <w:rPr>
                <w:rFonts w:asciiTheme="majorHAnsi" w:eastAsia="Times New Roman" w:hAnsiTheme="majorHAnsi" w:cstheme="majorHAnsi"/>
                <w:color w:val="000000"/>
                <w:lang w:eastAsia="en-AU"/>
              </w:rPr>
              <w:t>align</w:t>
            </w:r>
            <w:r w:rsidR="00EB0690">
              <w:rPr>
                <w:rFonts w:asciiTheme="majorHAnsi" w:eastAsia="Times New Roman" w:hAnsiTheme="majorHAnsi" w:cstheme="majorHAnsi"/>
                <w:color w:val="000000"/>
                <w:lang w:eastAsia="en-AU"/>
              </w:rPr>
              <w:t>s</w:t>
            </w:r>
            <w:r w:rsidR="00AA5AE3">
              <w:rPr>
                <w:rFonts w:asciiTheme="majorHAnsi" w:eastAsia="Times New Roman" w:hAnsiTheme="majorHAnsi" w:cstheme="majorHAnsi"/>
                <w:color w:val="000000"/>
                <w:lang w:eastAsia="en-AU"/>
              </w:rPr>
              <w:t xml:space="preserve"> its programming with </w:t>
            </w:r>
            <w:r>
              <w:rPr>
                <w:rFonts w:asciiTheme="majorHAnsi" w:eastAsia="Times New Roman" w:hAnsiTheme="majorHAnsi" w:cstheme="majorHAnsi"/>
                <w:color w:val="000000"/>
                <w:lang w:eastAsia="en-AU"/>
              </w:rPr>
              <w:t xml:space="preserve">the </w:t>
            </w:r>
            <w:r w:rsidR="0003435E">
              <w:rPr>
                <w:rFonts w:asciiTheme="majorHAnsi" w:eastAsia="Times New Roman" w:hAnsiTheme="majorHAnsi" w:cstheme="majorHAnsi"/>
                <w:color w:val="000000"/>
                <w:lang w:eastAsia="en-AU"/>
              </w:rPr>
              <w:t xml:space="preserve">principles of the </w:t>
            </w:r>
            <w:r>
              <w:rPr>
                <w:rFonts w:asciiTheme="majorHAnsi" w:eastAsia="Times New Roman" w:hAnsiTheme="majorHAnsi" w:cstheme="majorHAnsi"/>
                <w:color w:val="000000"/>
                <w:lang w:eastAsia="en-AU"/>
              </w:rPr>
              <w:t>WHO six pillars of health system strengthening</w:t>
            </w:r>
            <w:r w:rsidR="00EB0690">
              <w:rPr>
                <w:rFonts w:asciiTheme="majorHAnsi" w:eastAsia="Times New Roman" w:hAnsiTheme="majorHAnsi" w:cstheme="majorHAnsi"/>
                <w:color w:val="000000"/>
                <w:lang w:eastAsia="en-AU"/>
              </w:rPr>
              <w:t xml:space="preserve"> and will continue to ensure that programs consider all six pillars as appropriate</w:t>
            </w:r>
            <w:r w:rsidR="0003435E">
              <w:rPr>
                <w:rFonts w:asciiTheme="majorHAnsi" w:eastAsia="Times New Roman" w:hAnsiTheme="majorHAnsi" w:cstheme="majorHAnsi"/>
                <w:color w:val="000000"/>
                <w:lang w:eastAsia="en-AU"/>
              </w:rPr>
              <w:t>. However, DFAT</w:t>
            </w:r>
            <w:r>
              <w:rPr>
                <w:rFonts w:asciiTheme="majorHAnsi" w:eastAsia="Times New Roman" w:hAnsiTheme="majorHAnsi" w:cstheme="majorHAnsi"/>
                <w:color w:val="000000"/>
                <w:lang w:eastAsia="en-AU"/>
              </w:rPr>
              <w:t xml:space="preserve"> has partial ability to ensure that other investment partners </w:t>
            </w:r>
            <w:r w:rsidR="0003435E">
              <w:rPr>
                <w:rFonts w:asciiTheme="majorHAnsi" w:eastAsia="Times New Roman" w:hAnsiTheme="majorHAnsi" w:cstheme="majorHAnsi"/>
                <w:color w:val="000000"/>
                <w:lang w:eastAsia="en-AU"/>
              </w:rPr>
              <w:t xml:space="preserve">strictly </w:t>
            </w:r>
            <w:r>
              <w:rPr>
                <w:rFonts w:asciiTheme="majorHAnsi" w:eastAsia="Times New Roman" w:hAnsiTheme="majorHAnsi" w:cstheme="majorHAnsi"/>
                <w:color w:val="000000"/>
                <w:lang w:eastAsia="en-AU"/>
              </w:rPr>
              <w:t xml:space="preserve">align their programs with the </w:t>
            </w:r>
            <w:r w:rsidR="0003435E">
              <w:rPr>
                <w:rFonts w:asciiTheme="majorHAnsi" w:eastAsia="Times New Roman" w:hAnsiTheme="majorHAnsi" w:cstheme="majorHAnsi"/>
                <w:color w:val="000000"/>
                <w:lang w:eastAsia="en-AU"/>
              </w:rPr>
              <w:t xml:space="preserve">six </w:t>
            </w:r>
            <w:r>
              <w:rPr>
                <w:rFonts w:asciiTheme="majorHAnsi" w:eastAsia="Times New Roman" w:hAnsiTheme="majorHAnsi" w:cstheme="majorHAnsi"/>
                <w:color w:val="000000"/>
                <w:lang w:eastAsia="en-AU"/>
              </w:rPr>
              <w:t xml:space="preserve">pillars. </w:t>
            </w:r>
          </w:p>
          <w:p w14:paraId="74FEEF1B" w14:textId="77777777" w:rsidR="0003435E" w:rsidRDefault="0003435E" w:rsidP="00EF0572">
            <w:pPr>
              <w:rPr>
                <w:rFonts w:asciiTheme="majorHAnsi" w:eastAsia="Times New Roman" w:hAnsiTheme="majorHAnsi" w:cstheme="majorHAnsi"/>
                <w:color w:val="000000"/>
                <w:lang w:eastAsia="en-AU"/>
              </w:rPr>
            </w:pPr>
          </w:p>
          <w:p w14:paraId="6BB18567" w14:textId="1A85833C" w:rsidR="00BC3631" w:rsidRDefault="0067370C" w:rsidP="00EF0572">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DFAT notes</w:t>
            </w:r>
            <w:r w:rsidR="00BC3631">
              <w:rPr>
                <w:rFonts w:asciiTheme="majorHAnsi" w:eastAsia="Times New Roman" w:hAnsiTheme="majorHAnsi" w:cstheme="majorHAnsi"/>
                <w:color w:val="000000"/>
                <w:lang w:eastAsia="en-AU"/>
              </w:rPr>
              <w:t xml:space="preserve"> that the WBW program was a </w:t>
            </w:r>
            <w:r w:rsidR="00EB0690">
              <w:rPr>
                <w:rFonts w:asciiTheme="majorHAnsi" w:eastAsia="Times New Roman" w:hAnsiTheme="majorHAnsi" w:cstheme="majorHAnsi"/>
                <w:color w:val="000000"/>
                <w:lang w:eastAsia="en-AU"/>
              </w:rPr>
              <w:t xml:space="preserve">targeted </w:t>
            </w:r>
            <w:r w:rsidR="00BC3631">
              <w:rPr>
                <w:rFonts w:asciiTheme="majorHAnsi" w:eastAsia="Times New Roman" w:hAnsiTheme="majorHAnsi" w:cstheme="majorHAnsi"/>
                <w:color w:val="000000"/>
                <w:lang w:eastAsia="en-AU"/>
              </w:rPr>
              <w:t>health</w:t>
            </w:r>
            <w:r w:rsidR="00EA32AE">
              <w:rPr>
                <w:rFonts w:asciiTheme="majorHAnsi" w:eastAsia="Times New Roman" w:hAnsiTheme="majorHAnsi" w:cstheme="majorHAnsi"/>
                <w:color w:val="000000"/>
                <w:lang w:eastAsia="en-AU"/>
              </w:rPr>
              <w:t>-</w:t>
            </w:r>
            <w:r w:rsidR="00BC3631">
              <w:rPr>
                <w:rFonts w:asciiTheme="majorHAnsi" w:eastAsia="Times New Roman" w:hAnsiTheme="majorHAnsi" w:cstheme="majorHAnsi"/>
                <w:color w:val="000000"/>
                <w:lang w:eastAsia="en-AU"/>
              </w:rPr>
              <w:t>systems support program</w:t>
            </w:r>
            <w:r w:rsidR="00AA6119">
              <w:rPr>
                <w:rFonts w:asciiTheme="majorHAnsi" w:eastAsia="Times New Roman" w:hAnsiTheme="majorHAnsi" w:cstheme="majorHAnsi"/>
                <w:color w:val="000000"/>
                <w:lang w:eastAsia="en-AU"/>
              </w:rPr>
              <w:t xml:space="preserve"> and it </w:t>
            </w:r>
            <w:r>
              <w:rPr>
                <w:rFonts w:asciiTheme="majorHAnsi" w:eastAsia="Times New Roman" w:hAnsiTheme="majorHAnsi" w:cstheme="majorHAnsi"/>
                <w:color w:val="000000"/>
                <w:lang w:eastAsia="en-AU"/>
              </w:rPr>
              <w:t>was beyond the project’s scope to incorporate all six WHO pillars of health system strengthening.</w:t>
            </w:r>
          </w:p>
          <w:p w14:paraId="1DDAAB91" w14:textId="4F3BEF66" w:rsidR="0003435E" w:rsidRPr="006B0640" w:rsidRDefault="0003435E" w:rsidP="00EB0690">
            <w:pPr>
              <w:rPr>
                <w:rFonts w:asciiTheme="majorHAnsi" w:eastAsia="Times New Roman" w:hAnsiTheme="majorHAnsi" w:cstheme="majorHAnsi"/>
                <w:color w:val="000000"/>
                <w:lang w:eastAsia="en-AU"/>
              </w:rPr>
            </w:pPr>
          </w:p>
        </w:tc>
        <w:tc>
          <w:tcPr>
            <w:tcW w:w="2979" w:type="dxa"/>
            <w:vAlign w:val="center"/>
          </w:tcPr>
          <w:p w14:paraId="68F49039" w14:textId="171D2B48" w:rsidR="00EF0572" w:rsidRPr="006B0640" w:rsidRDefault="00EF0572" w:rsidP="00EF0572">
            <w:pPr>
              <w:rPr>
                <w:rFonts w:asciiTheme="majorHAnsi" w:hAnsiTheme="majorHAnsi" w:cstheme="majorHAnsi"/>
              </w:rPr>
            </w:pPr>
            <w:r w:rsidRPr="006B0640">
              <w:rPr>
                <w:rFonts w:asciiTheme="majorHAnsi" w:eastAsia="Times New Roman" w:hAnsiTheme="majorHAnsi" w:cstheme="majorHAnsi"/>
                <w:color w:val="000000"/>
                <w:lang w:eastAsia="en-AU"/>
              </w:rPr>
              <w:t>By June 202</w:t>
            </w:r>
            <w:r>
              <w:rPr>
                <w:rFonts w:asciiTheme="majorHAnsi" w:eastAsia="Times New Roman" w:hAnsiTheme="majorHAnsi" w:cstheme="majorHAnsi"/>
                <w:color w:val="000000"/>
                <w:lang w:eastAsia="en-AU"/>
              </w:rPr>
              <w:t>2 and ongoing.</w:t>
            </w:r>
          </w:p>
        </w:tc>
      </w:tr>
      <w:tr w:rsidR="00EF0572" w:rsidRPr="006B0640" w14:paraId="228C8315" w14:textId="77777777" w:rsidTr="001533E1">
        <w:tc>
          <w:tcPr>
            <w:tcW w:w="3964" w:type="dxa"/>
            <w:vAlign w:val="center"/>
          </w:tcPr>
          <w:p w14:paraId="5EC147CC" w14:textId="2884D8D8" w:rsidR="00EF0572" w:rsidRPr="00A85748" w:rsidRDefault="0043752F" w:rsidP="00EF0572">
            <w:pPr>
              <w:rPr>
                <w:rFonts w:eastAsia="Times New Roman" w:cstheme="minorHAnsi"/>
                <w:b/>
              </w:rPr>
            </w:pPr>
            <w:r>
              <w:rPr>
                <w:rFonts w:asciiTheme="majorHAnsi" w:eastAsia="Times New Roman" w:hAnsiTheme="majorHAnsi" w:cstheme="majorHAnsi"/>
                <w:b/>
                <w:bCs/>
                <w:color w:val="000000"/>
                <w:lang w:eastAsia="en-AU"/>
              </w:rPr>
              <w:t>Recommendation</w:t>
            </w:r>
            <w:r w:rsidRPr="006B0640">
              <w:rPr>
                <w:rFonts w:asciiTheme="majorHAnsi" w:eastAsia="Times New Roman" w:hAnsiTheme="majorHAnsi" w:cstheme="majorHAnsi"/>
                <w:b/>
                <w:bCs/>
                <w:color w:val="000000"/>
                <w:lang w:eastAsia="en-AU"/>
              </w:rPr>
              <w:t xml:space="preserve"> </w:t>
            </w:r>
            <w:r w:rsidR="00EF0572" w:rsidRPr="00A85748">
              <w:rPr>
                <w:rFonts w:eastAsia="Times New Roman" w:cstheme="minorHAnsi"/>
                <w:b/>
              </w:rPr>
              <w:t xml:space="preserve">3. </w:t>
            </w:r>
          </w:p>
          <w:p w14:paraId="68C4176C" w14:textId="524B2302" w:rsidR="00EF0572" w:rsidRPr="000821FA" w:rsidRDefault="00EF0572" w:rsidP="00EF0572">
            <w:pPr>
              <w:rPr>
                <w:rFonts w:eastAsia="Times New Roman" w:cstheme="minorHAnsi"/>
                <w:b/>
                <w:bCs/>
              </w:rPr>
            </w:pPr>
            <w:r w:rsidRPr="000821FA">
              <w:rPr>
                <w:rFonts w:eastAsia="Times New Roman" w:cstheme="minorHAnsi"/>
                <w:b/>
                <w:bCs/>
              </w:rPr>
              <w:t>If future investments in health system strengthening adopt a Collective Impact approach, the AHC and OSF should ensure that where possible investments address all five key elements of Collective Impact. This could be achieved by, for example, engaging technical experts in Collective Impact to advise on program design, develop</w:t>
            </w:r>
            <w:r>
              <w:rPr>
                <w:rFonts w:eastAsia="Times New Roman" w:cstheme="minorHAnsi"/>
                <w:b/>
                <w:bCs/>
              </w:rPr>
              <w:t xml:space="preserve"> </w:t>
            </w:r>
            <w:r w:rsidRPr="000821FA">
              <w:rPr>
                <w:rFonts w:eastAsia="Times New Roman" w:cstheme="minorHAnsi"/>
                <w:b/>
                <w:bCs/>
              </w:rPr>
              <w:t xml:space="preserve">a Collective Impact strategy during </w:t>
            </w:r>
            <w:r>
              <w:rPr>
                <w:rFonts w:eastAsia="Times New Roman" w:cstheme="minorHAnsi"/>
                <w:b/>
                <w:bCs/>
              </w:rPr>
              <w:t xml:space="preserve">the </w:t>
            </w:r>
            <w:r w:rsidRPr="000821FA">
              <w:rPr>
                <w:rFonts w:eastAsia="Times New Roman" w:cstheme="minorHAnsi"/>
                <w:b/>
                <w:bCs/>
              </w:rPr>
              <w:t xml:space="preserve">inception </w:t>
            </w:r>
            <w:r>
              <w:rPr>
                <w:rFonts w:eastAsia="Times New Roman" w:cstheme="minorHAnsi"/>
                <w:b/>
                <w:bCs/>
              </w:rPr>
              <w:t xml:space="preserve">phase </w:t>
            </w:r>
            <w:r w:rsidRPr="000821FA">
              <w:rPr>
                <w:rFonts w:eastAsia="Times New Roman" w:cstheme="minorHAnsi"/>
                <w:b/>
                <w:bCs/>
              </w:rPr>
              <w:t xml:space="preserve">to inform implementation, </w:t>
            </w:r>
            <w:r>
              <w:rPr>
                <w:rFonts w:eastAsia="Times New Roman" w:cstheme="minorHAnsi"/>
                <w:b/>
                <w:bCs/>
              </w:rPr>
              <w:t>a</w:t>
            </w:r>
            <w:r w:rsidRPr="000821FA">
              <w:rPr>
                <w:rFonts w:eastAsia="Times New Roman" w:cstheme="minorHAnsi"/>
                <w:b/>
                <w:bCs/>
              </w:rPr>
              <w:t>nd actively work</w:t>
            </w:r>
            <w:r w:rsidR="00D1212B">
              <w:rPr>
                <w:rFonts w:eastAsia="Times New Roman" w:cstheme="minorHAnsi"/>
                <w:b/>
                <w:bCs/>
              </w:rPr>
              <w:t>ing</w:t>
            </w:r>
            <w:r>
              <w:rPr>
                <w:rFonts w:eastAsia="Times New Roman" w:cstheme="minorHAnsi"/>
                <w:b/>
                <w:bCs/>
              </w:rPr>
              <w:t xml:space="preserve"> </w:t>
            </w:r>
            <w:r w:rsidRPr="000821FA">
              <w:rPr>
                <w:rFonts w:eastAsia="Times New Roman" w:cstheme="minorHAnsi"/>
                <w:b/>
                <w:bCs/>
              </w:rPr>
              <w:t>with partners and other donors to promote the Collective Impact approach among</w:t>
            </w:r>
            <w:r w:rsidR="00D1212B">
              <w:rPr>
                <w:rFonts w:eastAsia="Times New Roman" w:cstheme="minorHAnsi"/>
                <w:b/>
                <w:bCs/>
              </w:rPr>
              <w:t xml:space="preserve"> </w:t>
            </w:r>
            <w:r w:rsidRPr="000821FA">
              <w:rPr>
                <w:rFonts w:eastAsia="Times New Roman" w:cstheme="minorHAnsi"/>
                <w:b/>
                <w:bCs/>
              </w:rPr>
              <w:t xml:space="preserve">stakeholders. </w:t>
            </w:r>
            <w:proofErr w:type="gramStart"/>
            <w:r w:rsidRPr="000821FA">
              <w:rPr>
                <w:rFonts w:eastAsia="Times New Roman" w:cstheme="minorHAnsi"/>
                <w:b/>
                <w:bCs/>
              </w:rPr>
              <w:t>In particular, OSF</w:t>
            </w:r>
            <w:proofErr w:type="gramEnd"/>
            <w:r w:rsidRPr="000821FA">
              <w:rPr>
                <w:rFonts w:eastAsia="Times New Roman" w:cstheme="minorHAnsi"/>
                <w:b/>
                <w:bCs/>
              </w:rPr>
              <w:t xml:space="preserve"> and PATH should </w:t>
            </w:r>
            <w:r>
              <w:rPr>
                <w:rFonts w:eastAsia="Times New Roman" w:cstheme="minorHAnsi"/>
                <w:b/>
                <w:bCs/>
              </w:rPr>
              <w:t xml:space="preserve">prioritise </w:t>
            </w:r>
            <w:r w:rsidRPr="000821FA">
              <w:rPr>
                <w:rFonts w:eastAsia="Times New Roman" w:cstheme="minorHAnsi"/>
                <w:b/>
                <w:bCs/>
              </w:rPr>
              <w:t xml:space="preserve">partnership brokering </w:t>
            </w:r>
            <w:r>
              <w:rPr>
                <w:rFonts w:eastAsia="Times New Roman" w:cstheme="minorHAnsi"/>
                <w:b/>
                <w:bCs/>
              </w:rPr>
              <w:t xml:space="preserve">activities </w:t>
            </w:r>
            <w:r w:rsidRPr="000821FA">
              <w:rPr>
                <w:rFonts w:eastAsia="Times New Roman" w:cstheme="minorHAnsi"/>
                <w:b/>
                <w:bCs/>
              </w:rPr>
              <w:t>to establish the foundation for a Collective Impact approach.</w:t>
            </w:r>
          </w:p>
          <w:p w14:paraId="3BF0AFFA" w14:textId="77777777" w:rsidR="00EF0572" w:rsidRDefault="00EF0572" w:rsidP="00EF0572">
            <w:pPr>
              <w:rPr>
                <w:rFonts w:asciiTheme="majorHAnsi" w:hAnsiTheme="majorHAnsi" w:cstheme="majorHAnsi"/>
              </w:rPr>
            </w:pPr>
          </w:p>
        </w:tc>
        <w:tc>
          <w:tcPr>
            <w:tcW w:w="1701" w:type="dxa"/>
            <w:vAlign w:val="center"/>
          </w:tcPr>
          <w:p w14:paraId="0E81B7EC" w14:textId="078623A5" w:rsidR="00EF0572" w:rsidRPr="001533E1" w:rsidRDefault="00EF0572" w:rsidP="00EF0572">
            <w:pPr>
              <w:rPr>
                <w:rFonts w:eastAsia="Times New Roman" w:cstheme="minorHAnsi"/>
                <w:b/>
                <w:bCs/>
                <w:i/>
                <w:iCs/>
              </w:rPr>
            </w:pPr>
            <w:r w:rsidRPr="001533E1">
              <w:rPr>
                <w:rFonts w:asciiTheme="majorHAnsi" w:eastAsia="Times New Roman" w:hAnsiTheme="majorHAnsi" w:cstheme="majorHAnsi"/>
                <w:b/>
                <w:bCs/>
                <w:color w:val="000000"/>
                <w:lang w:eastAsia="en-AU"/>
              </w:rPr>
              <w:t>Agree</w:t>
            </w:r>
          </w:p>
        </w:tc>
        <w:tc>
          <w:tcPr>
            <w:tcW w:w="5670" w:type="dxa"/>
          </w:tcPr>
          <w:p w14:paraId="0163E21D" w14:textId="77777777" w:rsidR="00254E1F" w:rsidRDefault="00254E1F" w:rsidP="00EF0572">
            <w:pPr>
              <w:rPr>
                <w:rFonts w:eastAsia="Times New Roman" w:cstheme="minorHAnsi"/>
                <w:i/>
                <w:iCs/>
              </w:rPr>
            </w:pPr>
          </w:p>
          <w:p w14:paraId="3311FFE5" w14:textId="77777777" w:rsidR="00AA5AE3" w:rsidRDefault="00AA5AE3" w:rsidP="00EF0572">
            <w:pPr>
              <w:rPr>
                <w:rFonts w:eastAsia="Times New Roman" w:cstheme="minorHAnsi"/>
                <w:i/>
                <w:iCs/>
              </w:rPr>
            </w:pPr>
          </w:p>
          <w:p w14:paraId="1BCC3F0D" w14:textId="77777777" w:rsidR="00AA5AE3" w:rsidRDefault="00AA5AE3" w:rsidP="00EF0572">
            <w:pPr>
              <w:rPr>
                <w:rFonts w:eastAsia="Times New Roman" w:cstheme="minorHAnsi"/>
                <w:i/>
                <w:iCs/>
              </w:rPr>
            </w:pPr>
          </w:p>
          <w:p w14:paraId="3C892894" w14:textId="77777777" w:rsidR="00EF0572" w:rsidRDefault="00EF0572" w:rsidP="00EF0572">
            <w:pPr>
              <w:rPr>
                <w:rFonts w:eastAsia="Times New Roman" w:cstheme="minorHAnsi"/>
                <w:i/>
                <w:iCs/>
              </w:rPr>
            </w:pPr>
            <w:r w:rsidRPr="003764FE">
              <w:rPr>
                <w:rFonts w:eastAsia="Times New Roman" w:cstheme="minorHAnsi"/>
                <w:i/>
                <w:iCs/>
              </w:rPr>
              <w:t>There is a growing body of evidence on Collective Impact’s ability to influence systems change and contribute to population level change. Collective Impact has five key elements: (1) a common agenda, (2) shared measurement system, (3) coordinated plan of action, (4) continuous communication, and (5) a backbone support organisation. Evidence from Collective Impact practice demonstrates that in addition to the five conditions, there are additional principles of practice that should be followed to put collective impact into action.  While several stakeholders considered WBW to align with a Collective Impact approach, it addressed some – but not all – elements and principles of Collective Impact. For example, while it strengthened coordination and communication between partners, coordination and communication are likely to have been stronge</w:t>
            </w:r>
            <w:r w:rsidRPr="00422B8C">
              <w:rPr>
                <w:rFonts w:eastAsia="Times New Roman" w:cstheme="minorHAnsi"/>
                <w:i/>
                <w:iCs/>
              </w:rPr>
              <w:t xml:space="preserve">r if there was a coordinated plan of action or </w:t>
            </w:r>
            <w:r w:rsidRPr="009B4592">
              <w:rPr>
                <w:rFonts w:eastAsia="Times New Roman" w:cstheme="minorHAnsi"/>
                <w:i/>
                <w:iCs/>
              </w:rPr>
              <w:t>shared measurement system agreed between partners, both</w:t>
            </w:r>
            <w:r w:rsidRPr="002039E9">
              <w:rPr>
                <w:rFonts w:eastAsia="Times New Roman" w:cstheme="minorHAnsi"/>
                <w:i/>
                <w:iCs/>
              </w:rPr>
              <w:t xml:space="preserve"> of which are key elements</w:t>
            </w:r>
            <w:r w:rsidRPr="003764FE">
              <w:rPr>
                <w:rFonts w:eastAsia="Times New Roman" w:cstheme="minorHAnsi"/>
                <w:i/>
                <w:iCs/>
              </w:rPr>
              <w:t xml:space="preserve"> of the Collective Impact model. OSF, if continuing WBW, and PATH/AHC, in planning and designing health systems strengthening, should be guided by these principles of practice and the five conditions, as it is more likely to achieve sustainable improvements in provincial health systems. Adoption of a Collective Impact approach may necessitate changes to M&amp;E, and accountability and reporting processes, given that under a Collective Impact approach changes are due to the collective efforts of stakeholders, rather than attributable to a single actor.</w:t>
            </w:r>
          </w:p>
          <w:p w14:paraId="1B9BE190" w14:textId="059B93FE" w:rsidR="00AA5AE3" w:rsidRPr="00A85748" w:rsidRDefault="00AA5AE3" w:rsidP="00EF0572">
            <w:pPr>
              <w:rPr>
                <w:rFonts w:asciiTheme="majorHAnsi" w:hAnsiTheme="majorHAnsi" w:cstheme="majorHAnsi"/>
                <w:i/>
                <w:iCs/>
              </w:rPr>
            </w:pPr>
          </w:p>
        </w:tc>
        <w:tc>
          <w:tcPr>
            <w:tcW w:w="6238" w:type="dxa"/>
            <w:vAlign w:val="center"/>
          </w:tcPr>
          <w:p w14:paraId="3A92EAB4" w14:textId="629C35F4" w:rsidR="0028757B" w:rsidRDefault="0028757B" w:rsidP="0028757B">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DFAT health development programs are designed and implemented to </w:t>
            </w:r>
            <w:r w:rsidR="00EB0690">
              <w:rPr>
                <w:rFonts w:asciiTheme="majorHAnsi" w:eastAsia="Times New Roman" w:hAnsiTheme="majorHAnsi" w:cstheme="majorHAnsi"/>
                <w:color w:val="000000"/>
                <w:lang w:eastAsia="en-AU"/>
              </w:rPr>
              <w:t>achieve a range of development outcomes</w:t>
            </w:r>
            <w:r>
              <w:rPr>
                <w:rFonts w:asciiTheme="majorHAnsi" w:eastAsia="Times New Roman" w:hAnsiTheme="majorHAnsi" w:cstheme="majorHAnsi"/>
                <w:color w:val="000000"/>
                <w:lang w:eastAsia="en-AU"/>
              </w:rPr>
              <w:t xml:space="preserve">. While some programs, such as WBW, PATH and HSSDP, may not be directed by all elements of the Collective Impact approach, they all follow the principles of a Collective Impact approach where appropriate. </w:t>
            </w:r>
          </w:p>
          <w:p w14:paraId="0E68F45E" w14:textId="77777777" w:rsidR="00AA5AE3" w:rsidRDefault="00AA5AE3" w:rsidP="00EF0572">
            <w:pPr>
              <w:rPr>
                <w:rFonts w:asciiTheme="majorHAnsi" w:eastAsia="Times New Roman" w:hAnsiTheme="majorHAnsi" w:cstheme="majorHAnsi"/>
                <w:color w:val="000000"/>
                <w:lang w:eastAsia="en-AU"/>
              </w:rPr>
            </w:pPr>
          </w:p>
          <w:p w14:paraId="36563215" w14:textId="13D8A95F" w:rsidR="00EF0572" w:rsidRDefault="00EB0690" w:rsidP="00EF0572">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For example,</w:t>
            </w:r>
            <w:r w:rsidR="00EF0572">
              <w:rPr>
                <w:rFonts w:asciiTheme="majorHAnsi" w:eastAsia="Times New Roman" w:hAnsiTheme="majorHAnsi" w:cstheme="majorHAnsi"/>
                <w:color w:val="000000"/>
                <w:lang w:eastAsia="en-AU"/>
              </w:rPr>
              <w:t xml:space="preserve"> WBW applied a collective impact approach where possible, </w:t>
            </w:r>
            <w:r w:rsidR="00BC5493">
              <w:rPr>
                <w:rFonts w:asciiTheme="majorHAnsi" w:eastAsia="Times New Roman" w:hAnsiTheme="majorHAnsi" w:cstheme="majorHAnsi"/>
                <w:color w:val="000000"/>
                <w:lang w:eastAsia="en-AU"/>
              </w:rPr>
              <w:t>as</w:t>
            </w:r>
            <w:r w:rsidR="00EF0572">
              <w:rPr>
                <w:rFonts w:asciiTheme="majorHAnsi" w:eastAsia="Times New Roman" w:hAnsiTheme="majorHAnsi" w:cstheme="majorHAnsi"/>
                <w:color w:val="000000"/>
                <w:lang w:eastAsia="en-AU"/>
              </w:rPr>
              <w:t xml:space="preserve"> the focus on strengthening the Hela PHA required engagement from outside partners.</w:t>
            </w:r>
          </w:p>
          <w:p w14:paraId="1FB92489" w14:textId="77777777" w:rsidR="00413753" w:rsidRDefault="00413753" w:rsidP="00EF0572">
            <w:pPr>
              <w:rPr>
                <w:rFonts w:asciiTheme="majorHAnsi" w:eastAsia="Times New Roman" w:hAnsiTheme="majorHAnsi" w:cstheme="majorHAnsi"/>
                <w:color w:val="000000"/>
                <w:lang w:eastAsia="en-AU"/>
              </w:rPr>
            </w:pPr>
          </w:p>
          <w:p w14:paraId="18B7D945" w14:textId="5F2DE8BA" w:rsidR="0028757B" w:rsidRDefault="00EB0690" w:rsidP="0028757B">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DFAT will explore opportunities to incorporate Collective Impact approaches into health system strengthening programs as appropriate.</w:t>
            </w:r>
          </w:p>
          <w:p w14:paraId="5E06F039" w14:textId="64111A76" w:rsidR="0028757B" w:rsidRPr="00665C4E" w:rsidRDefault="0028757B" w:rsidP="00EF0572">
            <w:pPr>
              <w:rPr>
                <w:rFonts w:asciiTheme="majorHAnsi" w:eastAsia="Times New Roman" w:hAnsiTheme="majorHAnsi" w:cstheme="majorHAnsi"/>
                <w:color w:val="000000"/>
                <w:lang w:eastAsia="en-AU"/>
              </w:rPr>
            </w:pPr>
          </w:p>
        </w:tc>
        <w:tc>
          <w:tcPr>
            <w:tcW w:w="2979" w:type="dxa"/>
            <w:vAlign w:val="center"/>
          </w:tcPr>
          <w:p w14:paraId="4B3A9C57" w14:textId="1FF077F4" w:rsidR="00EF0572" w:rsidRPr="006B0640" w:rsidRDefault="00254E1F" w:rsidP="00EF0572">
            <w:pPr>
              <w:rPr>
                <w:rFonts w:asciiTheme="majorHAnsi" w:eastAsia="Times New Roman" w:hAnsiTheme="majorHAnsi" w:cstheme="majorHAnsi"/>
                <w:lang w:eastAsia="en-AU"/>
              </w:rPr>
            </w:pPr>
            <w:r>
              <w:rPr>
                <w:rFonts w:asciiTheme="majorHAnsi" w:eastAsia="Times New Roman" w:hAnsiTheme="majorHAnsi" w:cstheme="majorHAnsi"/>
                <w:color w:val="000000"/>
                <w:lang w:eastAsia="en-AU"/>
              </w:rPr>
              <w:t>Ongoing until 2025</w:t>
            </w:r>
          </w:p>
        </w:tc>
      </w:tr>
      <w:tr w:rsidR="00EF0572" w:rsidRPr="006B0640" w14:paraId="0C7B5A2D" w14:textId="77777777" w:rsidTr="001533E1">
        <w:tc>
          <w:tcPr>
            <w:tcW w:w="3964" w:type="dxa"/>
            <w:vAlign w:val="center"/>
          </w:tcPr>
          <w:p w14:paraId="2DC4648C" w14:textId="77777777" w:rsidR="00254E1F" w:rsidRDefault="00254E1F" w:rsidP="00EF0572">
            <w:pPr>
              <w:rPr>
                <w:rFonts w:eastAsia="Times New Roman" w:cstheme="minorHAnsi"/>
                <w:b/>
              </w:rPr>
            </w:pPr>
          </w:p>
          <w:p w14:paraId="2F853596" w14:textId="5225EE54" w:rsidR="00EF0572" w:rsidRPr="00A85748" w:rsidRDefault="0043752F" w:rsidP="00EF0572">
            <w:pPr>
              <w:rPr>
                <w:rFonts w:eastAsia="Times New Roman" w:cstheme="minorHAnsi"/>
                <w:b/>
              </w:rPr>
            </w:pPr>
            <w:r>
              <w:rPr>
                <w:rFonts w:asciiTheme="majorHAnsi" w:eastAsia="Times New Roman" w:hAnsiTheme="majorHAnsi" w:cstheme="majorHAnsi"/>
                <w:b/>
                <w:bCs/>
                <w:color w:val="000000"/>
                <w:lang w:eastAsia="en-AU"/>
              </w:rPr>
              <w:t>Recommendation</w:t>
            </w:r>
            <w:r w:rsidRPr="006B0640">
              <w:rPr>
                <w:rFonts w:asciiTheme="majorHAnsi" w:eastAsia="Times New Roman" w:hAnsiTheme="majorHAnsi" w:cstheme="majorHAnsi"/>
                <w:b/>
                <w:bCs/>
                <w:color w:val="000000"/>
                <w:lang w:eastAsia="en-AU"/>
              </w:rPr>
              <w:t xml:space="preserve"> </w:t>
            </w:r>
            <w:r w:rsidR="00EF0572" w:rsidRPr="00A85748">
              <w:rPr>
                <w:rFonts w:eastAsia="Times New Roman" w:cstheme="minorHAnsi"/>
                <w:b/>
              </w:rPr>
              <w:t xml:space="preserve">4. </w:t>
            </w:r>
          </w:p>
          <w:p w14:paraId="0441343E" w14:textId="5C3548AD" w:rsidR="00EF0572" w:rsidRPr="000821FA" w:rsidRDefault="00EF0572" w:rsidP="00EF0572">
            <w:pPr>
              <w:rPr>
                <w:rFonts w:eastAsia="Times New Roman" w:cstheme="minorHAnsi"/>
              </w:rPr>
            </w:pPr>
            <w:r>
              <w:rPr>
                <w:rFonts w:eastAsia="Times New Roman" w:cstheme="minorHAnsi"/>
                <w:b/>
                <w:bCs/>
              </w:rPr>
              <w:t xml:space="preserve">The AHC </w:t>
            </w:r>
            <w:r w:rsidRPr="000821FA">
              <w:rPr>
                <w:rFonts w:eastAsia="Times New Roman" w:cstheme="minorHAnsi"/>
                <w:b/>
                <w:bCs/>
              </w:rPr>
              <w:t>when designing investments in health</w:t>
            </w:r>
            <w:r>
              <w:rPr>
                <w:rFonts w:eastAsia="Times New Roman" w:cstheme="minorHAnsi"/>
                <w:b/>
                <w:bCs/>
              </w:rPr>
              <w:t>-</w:t>
            </w:r>
            <w:r w:rsidRPr="000821FA">
              <w:rPr>
                <w:rFonts w:eastAsia="Times New Roman" w:cstheme="minorHAnsi"/>
                <w:b/>
                <w:bCs/>
              </w:rPr>
              <w:t>system</w:t>
            </w:r>
            <w:r>
              <w:rPr>
                <w:rFonts w:eastAsia="Times New Roman" w:cstheme="minorHAnsi"/>
                <w:b/>
                <w:bCs/>
              </w:rPr>
              <w:t>-</w:t>
            </w:r>
            <w:r w:rsidRPr="000821FA">
              <w:rPr>
                <w:rFonts w:eastAsia="Times New Roman" w:cstheme="minorHAnsi"/>
                <w:b/>
                <w:bCs/>
              </w:rPr>
              <w:t>strengthening</w:t>
            </w:r>
            <w:r>
              <w:rPr>
                <w:rFonts w:eastAsia="Times New Roman" w:cstheme="minorHAnsi"/>
                <w:b/>
                <w:bCs/>
              </w:rPr>
              <w:t>,</w:t>
            </w:r>
            <w:r w:rsidRPr="000821FA">
              <w:rPr>
                <w:rFonts w:eastAsia="Times New Roman" w:cstheme="minorHAnsi"/>
                <w:b/>
                <w:bCs/>
              </w:rPr>
              <w:t xml:space="preserve"> or </w:t>
            </w:r>
            <w:r>
              <w:rPr>
                <w:rFonts w:eastAsia="Times New Roman" w:cstheme="minorHAnsi"/>
                <w:b/>
                <w:bCs/>
              </w:rPr>
              <w:t xml:space="preserve">when </w:t>
            </w:r>
            <w:r w:rsidRPr="000821FA">
              <w:rPr>
                <w:rFonts w:eastAsia="Times New Roman" w:cstheme="minorHAnsi"/>
                <w:b/>
                <w:bCs/>
              </w:rPr>
              <w:t>seeking to replicate WBW-style strategies in other provinces, should where possible design and fund investments for longer time periods to allow systems change to be realised.</w:t>
            </w:r>
          </w:p>
          <w:p w14:paraId="6E303FC1" w14:textId="77777777" w:rsidR="00EF0572" w:rsidRDefault="00EF0572" w:rsidP="00EF0572">
            <w:pPr>
              <w:rPr>
                <w:rFonts w:asciiTheme="majorHAnsi" w:hAnsiTheme="majorHAnsi" w:cstheme="majorHAnsi"/>
              </w:rPr>
            </w:pPr>
          </w:p>
        </w:tc>
        <w:tc>
          <w:tcPr>
            <w:tcW w:w="1701" w:type="dxa"/>
            <w:vAlign w:val="center"/>
          </w:tcPr>
          <w:p w14:paraId="4FE7DB12" w14:textId="2346E9D2" w:rsidR="00EF0572" w:rsidRPr="001533E1" w:rsidRDefault="00EF0572" w:rsidP="00EF0572">
            <w:pPr>
              <w:rPr>
                <w:rFonts w:eastAsia="Times New Roman" w:cstheme="minorHAnsi"/>
                <w:b/>
                <w:bCs/>
                <w:i/>
                <w:iCs/>
              </w:rPr>
            </w:pPr>
            <w:r w:rsidRPr="001533E1">
              <w:rPr>
                <w:rFonts w:asciiTheme="majorHAnsi" w:eastAsia="Times New Roman" w:hAnsiTheme="majorHAnsi" w:cstheme="majorHAnsi"/>
                <w:b/>
                <w:bCs/>
                <w:color w:val="000000"/>
                <w:lang w:eastAsia="en-AU"/>
              </w:rPr>
              <w:t>Agree</w:t>
            </w:r>
          </w:p>
        </w:tc>
        <w:tc>
          <w:tcPr>
            <w:tcW w:w="5670" w:type="dxa"/>
          </w:tcPr>
          <w:p w14:paraId="69812774" w14:textId="77777777" w:rsidR="00254E1F" w:rsidRDefault="00254E1F" w:rsidP="00EF0572">
            <w:pPr>
              <w:rPr>
                <w:rFonts w:eastAsia="Times New Roman" w:cstheme="minorHAnsi"/>
                <w:i/>
                <w:iCs/>
              </w:rPr>
            </w:pPr>
          </w:p>
          <w:p w14:paraId="73EA681A" w14:textId="50BEDB3C" w:rsidR="00EF0572" w:rsidRPr="00A85748" w:rsidRDefault="00EF0572" w:rsidP="00EF0572">
            <w:pPr>
              <w:rPr>
                <w:rFonts w:eastAsia="Times New Roman" w:cstheme="minorHAnsi"/>
                <w:i/>
                <w:iCs/>
              </w:rPr>
            </w:pPr>
            <w:r w:rsidRPr="00A85748">
              <w:rPr>
                <w:rFonts w:eastAsia="Times New Roman" w:cstheme="minorHAnsi"/>
                <w:i/>
                <w:iCs/>
              </w:rPr>
              <w:t>WBW was funded as a three-year strategy – a period some stakeholders noted was too short for achieving the level of change required. Given that health system change takes time, a longer investment period (five years or more) is more likely to allow systems change to be realised sustainabl</w:t>
            </w:r>
            <w:r w:rsidR="00254E1F">
              <w:rPr>
                <w:rFonts w:eastAsia="Times New Roman" w:cstheme="minorHAnsi"/>
                <w:i/>
                <w:iCs/>
              </w:rPr>
              <w:t>y</w:t>
            </w:r>
            <w:r w:rsidRPr="00A85748">
              <w:rPr>
                <w:rFonts w:eastAsia="Times New Roman" w:cstheme="minorHAnsi"/>
                <w:i/>
                <w:iCs/>
              </w:rPr>
              <w:t>.</w:t>
            </w:r>
          </w:p>
          <w:p w14:paraId="4C0AB5D7" w14:textId="77777777" w:rsidR="00EF0572" w:rsidRPr="00A85748" w:rsidRDefault="00EF0572" w:rsidP="00EF0572">
            <w:pPr>
              <w:rPr>
                <w:rFonts w:asciiTheme="majorHAnsi" w:hAnsiTheme="majorHAnsi" w:cstheme="majorHAnsi"/>
                <w:i/>
                <w:iCs/>
              </w:rPr>
            </w:pPr>
          </w:p>
        </w:tc>
        <w:tc>
          <w:tcPr>
            <w:tcW w:w="6238" w:type="dxa"/>
            <w:vAlign w:val="center"/>
          </w:tcPr>
          <w:p w14:paraId="088BD5E5" w14:textId="77777777" w:rsidR="00254E1F" w:rsidRDefault="00254E1F" w:rsidP="00254E1F">
            <w:pPr>
              <w:rPr>
                <w:rFonts w:asciiTheme="majorHAnsi" w:eastAsia="Times New Roman" w:hAnsiTheme="majorHAnsi" w:cstheme="majorHAnsi"/>
                <w:color w:val="000000"/>
                <w:lang w:eastAsia="en-AU"/>
              </w:rPr>
            </w:pPr>
          </w:p>
          <w:p w14:paraId="627C5A70" w14:textId="6FAB297A" w:rsidR="00EB0690" w:rsidRDefault="00EB0690" w:rsidP="00EB0690">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DFAT has a long-term commitment to strengthen the PNG health sector. The majority of DFATs programs in the health sector are longer than three years duration. For instance, the HSSDP, 2019-2025, continues many of the elements of support at a national and provincial level that commenced in 2012 with the RPHSDP program; and the current phase of the PATH program (2020-2025) builds on the foundation of the earlier </w:t>
            </w:r>
            <w:r w:rsidR="00F10C67">
              <w:rPr>
                <w:rFonts w:asciiTheme="majorHAnsi" w:eastAsia="Times New Roman" w:hAnsiTheme="majorHAnsi" w:cstheme="majorHAnsi"/>
                <w:color w:val="000000"/>
                <w:lang w:eastAsia="en-AU"/>
              </w:rPr>
              <w:t xml:space="preserve">Health and HIV </w:t>
            </w:r>
            <w:r>
              <w:rPr>
                <w:rFonts w:asciiTheme="majorHAnsi" w:eastAsia="Times New Roman" w:hAnsiTheme="majorHAnsi" w:cstheme="majorHAnsi"/>
                <w:color w:val="000000"/>
                <w:lang w:eastAsia="en-AU"/>
              </w:rPr>
              <w:t>progra</w:t>
            </w:r>
            <w:r w:rsidR="00F10C67">
              <w:rPr>
                <w:rFonts w:asciiTheme="majorHAnsi" w:eastAsia="Times New Roman" w:hAnsiTheme="majorHAnsi" w:cstheme="majorHAnsi"/>
                <w:color w:val="000000"/>
                <w:lang w:eastAsia="en-AU"/>
              </w:rPr>
              <w:t>m (known as HHISP).</w:t>
            </w:r>
          </w:p>
          <w:p w14:paraId="264CEAF4" w14:textId="77777777" w:rsidR="00EB0690" w:rsidRDefault="00EB0690" w:rsidP="00EB0690">
            <w:pPr>
              <w:rPr>
                <w:rFonts w:asciiTheme="majorHAnsi" w:eastAsia="Times New Roman" w:hAnsiTheme="majorHAnsi" w:cstheme="majorHAnsi"/>
                <w:color w:val="000000"/>
                <w:lang w:eastAsia="en-AU"/>
              </w:rPr>
            </w:pPr>
          </w:p>
          <w:p w14:paraId="04004AF4" w14:textId="003DC1AE" w:rsidR="00254E1F" w:rsidRDefault="00EB0690" w:rsidP="00254E1F">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lastRenderedPageBreak/>
              <w:t>WBW was a pilot. Key elements</w:t>
            </w:r>
            <w:r w:rsidR="004C41E5">
              <w:rPr>
                <w:rFonts w:asciiTheme="majorHAnsi" w:eastAsia="Times New Roman" w:hAnsiTheme="majorHAnsi" w:cstheme="majorHAnsi"/>
                <w:color w:val="000000"/>
                <w:lang w:eastAsia="en-AU"/>
              </w:rPr>
              <w:t xml:space="preserve">, such as </w:t>
            </w:r>
            <w:r w:rsidR="00A10534">
              <w:rPr>
                <w:rFonts w:asciiTheme="majorHAnsi" w:eastAsia="Times New Roman" w:hAnsiTheme="majorHAnsi" w:cstheme="majorHAnsi"/>
                <w:color w:val="000000"/>
                <w:lang w:eastAsia="en-AU"/>
              </w:rPr>
              <w:t>recognising the importance of</w:t>
            </w:r>
            <w:r w:rsidR="004C41E5">
              <w:rPr>
                <w:rFonts w:asciiTheme="majorHAnsi" w:eastAsia="Times New Roman" w:hAnsiTheme="majorHAnsi" w:cstheme="majorHAnsi"/>
                <w:color w:val="000000"/>
                <w:lang w:eastAsia="en-AU"/>
              </w:rPr>
              <w:t xml:space="preserve"> central government engagement </w:t>
            </w:r>
            <w:r w:rsidR="00A10534">
              <w:rPr>
                <w:rFonts w:asciiTheme="majorHAnsi" w:eastAsia="Times New Roman" w:hAnsiTheme="majorHAnsi" w:cstheme="majorHAnsi"/>
                <w:color w:val="000000"/>
                <w:lang w:eastAsia="en-AU"/>
              </w:rPr>
              <w:t xml:space="preserve">to effect change; </w:t>
            </w:r>
            <w:r w:rsidR="004C41E5">
              <w:rPr>
                <w:rFonts w:asciiTheme="majorHAnsi" w:eastAsia="Times New Roman" w:hAnsiTheme="majorHAnsi" w:cstheme="majorHAnsi"/>
                <w:color w:val="000000"/>
                <w:lang w:eastAsia="en-AU"/>
              </w:rPr>
              <w:t>and</w:t>
            </w:r>
            <w:r w:rsidR="00A10534">
              <w:rPr>
                <w:rFonts w:asciiTheme="majorHAnsi" w:eastAsia="Times New Roman" w:hAnsiTheme="majorHAnsi" w:cstheme="majorHAnsi"/>
                <w:color w:val="000000"/>
                <w:lang w:eastAsia="en-AU"/>
              </w:rPr>
              <w:t xml:space="preserve"> committing to </w:t>
            </w:r>
            <w:r w:rsidR="00F10C67">
              <w:rPr>
                <w:rFonts w:asciiTheme="majorHAnsi" w:eastAsia="Times New Roman" w:hAnsiTheme="majorHAnsi" w:cstheme="majorHAnsi"/>
                <w:color w:val="000000"/>
                <w:lang w:eastAsia="en-AU"/>
              </w:rPr>
              <w:t xml:space="preserve">inclusive </w:t>
            </w:r>
            <w:r w:rsidR="004C41E5">
              <w:rPr>
                <w:rFonts w:asciiTheme="majorHAnsi" w:eastAsia="Times New Roman" w:hAnsiTheme="majorHAnsi" w:cstheme="majorHAnsi"/>
                <w:color w:val="000000"/>
                <w:lang w:eastAsia="en-AU"/>
              </w:rPr>
              <w:t>provinc</w:t>
            </w:r>
            <w:r w:rsidR="00344F5C">
              <w:rPr>
                <w:rFonts w:asciiTheme="majorHAnsi" w:eastAsia="Times New Roman" w:hAnsiTheme="majorHAnsi" w:cstheme="majorHAnsi"/>
                <w:color w:val="000000"/>
                <w:lang w:eastAsia="en-AU"/>
              </w:rPr>
              <w:t>e</w:t>
            </w:r>
            <w:r w:rsidR="004C41E5">
              <w:rPr>
                <w:rFonts w:asciiTheme="majorHAnsi" w:eastAsia="Times New Roman" w:hAnsiTheme="majorHAnsi" w:cstheme="majorHAnsi"/>
                <w:color w:val="000000"/>
                <w:lang w:eastAsia="en-AU"/>
              </w:rPr>
              <w:t>-wide consultation committee</w:t>
            </w:r>
            <w:r w:rsidR="00F10C67">
              <w:rPr>
                <w:rFonts w:asciiTheme="majorHAnsi" w:eastAsia="Times New Roman" w:hAnsiTheme="majorHAnsi" w:cstheme="majorHAnsi"/>
                <w:color w:val="000000"/>
                <w:lang w:eastAsia="en-AU"/>
              </w:rPr>
              <w:t xml:space="preserve"> meetings </w:t>
            </w:r>
            <w:r w:rsidR="00344F5C">
              <w:rPr>
                <w:rFonts w:asciiTheme="majorHAnsi" w:eastAsia="Times New Roman" w:hAnsiTheme="majorHAnsi" w:cstheme="majorHAnsi"/>
                <w:color w:val="000000"/>
                <w:lang w:eastAsia="en-AU"/>
              </w:rPr>
              <w:t xml:space="preserve">have been </w:t>
            </w:r>
            <w:r w:rsidR="004C41E5">
              <w:rPr>
                <w:rFonts w:asciiTheme="majorHAnsi" w:eastAsia="Times New Roman" w:hAnsiTheme="majorHAnsi" w:cstheme="majorHAnsi"/>
                <w:color w:val="000000"/>
                <w:lang w:eastAsia="en-AU"/>
              </w:rPr>
              <w:t>incorporated in</w:t>
            </w:r>
            <w:r w:rsidR="00A10534">
              <w:rPr>
                <w:rFonts w:asciiTheme="majorHAnsi" w:eastAsia="Times New Roman" w:hAnsiTheme="majorHAnsi" w:cstheme="majorHAnsi"/>
                <w:color w:val="000000"/>
                <w:lang w:eastAsia="en-AU"/>
              </w:rPr>
              <w:t>to</w:t>
            </w:r>
            <w:r w:rsidR="004C41E5">
              <w:rPr>
                <w:rFonts w:asciiTheme="majorHAnsi" w:eastAsia="Times New Roman" w:hAnsiTheme="majorHAnsi" w:cstheme="majorHAnsi"/>
                <w:color w:val="000000"/>
                <w:lang w:eastAsia="en-AU"/>
              </w:rPr>
              <w:t xml:space="preserve"> </w:t>
            </w:r>
            <w:r w:rsidR="0003435E">
              <w:rPr>
                <w:rFonts w:asciiTheme="majorHAnsi" w:eastAsia="Times New Roman" w:hAnsiTheme="majorHAnsi" w:cstheme="majorHAnsi"/>
                <w:color w:val="000000"/>
                <w:lang w:eastAsia="en-AU"/>
              </w:rPr>
              <w:t>longer</w:t>
            </w:r>
            <w:r>
              <w:rPr>
                <w:rFonts w:asciiTheme="majorHAnsi" w:eastAsia="Times New Roman" w:hAnsiTheme="majorHAnsi" w:cstheme="majorHAnsi"/>
                <w:color w:val="000000"/>
                <w:lang w:eastAsia="en-AU"/>
              </w:rPr>
              <w:t>-term</w:t>
            </w:r>
            <w:r w:rsidR="0003435E">
              <w:rPr>
                <w:rFonts w:asciiTheme="majorHAnsi" w:eastAsia="Times New Roman" w:hAnsiTheme="majorHAnsi" w:cstheme="majorHAnsi"/>
                <w:color w:val="000000"/>
                <w:lang w:eastAsia="en-AU"/>
              </w:rPr>
              <w:t xml:space="preserve"> </w:t>
            </w:r>
            <w:r w:rsidR="00A10534">
              <w:rPr>
                <w:rFonts w:asciiTheme="majorHAnsi" w:eastAsia="Times New Roman" w:hAnsiTheme="majorHAnsi" w:cstheme="majorHAnsi"/>
                <w:color w:val="000000"/>
                <w:lang w:eastAsia="en-AU"/>
              </w:rPr>
              <w:t>DFAT</w:t>
            </w:r>
            <w:r w:rsidR="004C41E5">
              <w:rPr>
                <w:rFonts w:asciiTheme="majorHAnsi" w:eastAsia="Times New Roman" w:hAnsiTheme="majorHAnsi" w:cstheme="majorHAnsi"/>
                <w:color w:val="000000"/>
                <w:lang w:eastAsia="en-AU"/>
              </w:rPr>
              <w:t xml:space="preserve"> programming</w:t>
            </w:r>
            <w:r w:rsidR="0003435E">
              <w:rPr>
                <w:rFonts w:asciiTheme="majorHAnsi" w:eastAsia="Times New Roman" w:hAnsiTheme="majorHAnsi" w:cstheme="majorHAnsi"/>
                <w:color w:val="000000"/>
                <w:lang w:eastAsia="en-AU"/>
              </w:rPr>
              <w:t xml:space="preserve"> through PATH.</w:t>
            </w:r>
          </w:p>
          <w:p w14:paraId="7D097521" w14:textId="77777777" w:rsidR="00EF0572" w:rsidRPr="00665C4E" w:rsidRDefault="00EF0572" w:rsidP="00EA32AE">
            <w:pPr>
              <w:rPr>
                <w:rFonts w:asciiTheme="majorHAnsi" w:eastAsia="Times New Roman" w:hAnsiTheme="majorHAnsi" w:cstheme="majorHAnsi"/>
                <w:color w:val="000000"/>
                <w:lang w:eastAsia="en-AU"/>
              </w:rPr>
            </w:pPr>
          </w:p>
        </w:tc>
        <w:tc>
          <w:tcPr>
            <w:tcW w:w="2979" w:type="dxa"/>
            <w:vAlign w:val="center"/>
          </w:tcPr>
          <w:p w14:paraId="35F65026" w14:textId="77777777" w:rsidR="00917598" w:rsidRDefault="00917598" w:rsidP="00EF0572">
            <w:pPr>
              <w:rPr>
                <w:rFonts w:asciiTheme="majorHAnsi" w:eastAsia="Times New Roman" w:hAnsiTheme="majorHAnsi" w:cstheme="majorHAnsi"/>
                <w:color w:val="000000"/>
                <w:lang w:eastAsia="en-AU"/>
              </w:rPr>
            </w:pPr>
          </w:p>
          <w:p w14:paraId="168ED66C" w14:textId="77777777" w:rsidR="00917598" w:rsidRDefault="00917598" w:rsidP="00EF0572">
            <w:pPr>
              <w:rPr>
                <w:rFonts w:asciiTheme="majorHAnsi" w:eastAsia="Times New Roman" w:hAnsiTheme="majorHAnsi" w:cstheme="majorHAnsi"/>
                <w:color w:val="000000"/>
                <w:lang w:eastAsia="en-AU"/>
              </w:rPr>
            </w:pPr>
          </w:p>
          <w:p w14:paraId="12D1D23B" w14:textId="77777777" w:rsidR="00917598" w:rsidRDefault="00917598" w:rsidP="00EF0572">
            <w:pPr>
              <w:rPr>
                <w:rFonts w:asciiTheme="majorHAnsi" w:eastAsia="Times New Roman" w:hAnsiTheme="majorHAnsi" w:cstheme="majorHAnsi"/>
                <w:color w:val="000000"/>
                <w:lang w:eastAsia="en-AU"/>
              </w:rPr>
            </w:pPr>
          </w:p>
          <w:p w14:paraId="6EDF6D92" w14:textId="00C4A3F0" w:rsidR="00EF0572" w:rsidRPr="006B0640" w:rsidRDefault="00254E1F" w:rsidP="00EF0572">
            <w:pPr>
              <w:rPr>
                <w:rFonts w:asciiTheme="majorHAnsi" w:eastAsia="Times New Roman" w:hAnsiTheme="majorHAnsi" w:cstheme="majorHAnsi"/>
                <w:lang w:eastAsia="en-AU"/>
              </w:rPr>
            </w:pPr>
            <w:r>
              <w:rPr>
                <w:rFonts w:asciiTheme="majorHAnsi" w:eastAsia="Times New Roman" w:hAnsiTheme="majorHAnsi" w:cstheme="majorHAnsi"/>
                <w:color w:val="000000"/>
                <w:lang w:eastAsia="en-AU"/>
              </w:rPr>
              <w:t>Ongoing until 2025</w:t>
            </w:r>
          </w:p>
        </w:tc>
      </w:tr>
      <w:tr w:rsidR="00254E1F" w:rsidRPr="006B0640" w14:paraId="558947E0" w14:textId="77777777" w:rsidTr="001533E1">
        <w:tc>
          <w:tcPr>
            <w:tcW w:w="3964" w:type="dxa"/>
            <w:vAlign w:val="center"/>
          </w:tcPr>
          <w:p w14:paraId="6F345F94" w14:textId="014EC8E6" w:rsidR="00254E1F" w:rsidRPr="00A85748" w:rsidRDefault="0043752F" w:rsidP="00254E1F">
            <w:pPr>
              <w:rPr>
                <w:rFonts w:eastAsia="Times New Roman" w:cstheme="minorHAnsi"/>
                <w:b/>
              </w:rPr>
            </w:pPr>
            <w:r>
              <w:rPr>
                <w:rFonts w:asciiTheme="majorHAnsi" w:eastAsia="Times New Roman" w:hAnsiTheme="majorHAnsi" w:cstheme="majorHAnsi"/>
                <w:b/>
                <w:bCs/>
                <w:color w:val="000000"/>
                <w:lang w:eastAsia="en-AU"/>
              </w:rPr>
              <w:t>Recommendation</w:t>
            </w:r>
            <w:r w:rsidRPr="006B0640">
              <w:rPr>
                <w:rFonts w:asciiTheme="majorHAnsi" w:eastAsia="Times New Roman" w:hAnsiTheme="majorHAnsi" w:cstheme="majorHAnsi"/>
                <w:b/>
                <w:bCs/>
                <w:color w:val="000000"/>
                <w:lang w:eastAsia="en-AU"/>
              </w:rPr>
              <w:t xml:space="preserve"> </w:t>
            </w:r>
            <w:r w:rsidR="00254E1F" w:rsidRPr="00A85748">
              <w:rPr>
                <w:rFonts w:eastAsia="Times New Roman" w:cstheme="minorHAnsi"/>
                <w:b/>
              </w:rPr>
              <w:t xml:space="preserve">5. </w:t>
            </w:r>
          </w:p>
          <w:p w14:paraId="2BF24561" w14:textId="47439FF6" w:rsidR="00254E1F" w:rsidRDefault="00254E1F" w:rsidP="00254E1F">
            <w:pPr>
              <w:rPr>
                <w:rFonts w:asciiTheme="majorHAnsi" w:hAnsiTheme="majorHAnsi" w:cstheme="majorHAnsi"/>
              </w:rPr>
            </w:pPr>
            <w:r w:rsidRPr="00A85748">
              <w:rPr>
                <w:rFonts w:eastAsia="Times New Roman" w:cstheme="minorHAnsi"/>
                <w:b/>
              </w:rPr>
              <w:t xml:space="preserve">The AHC, when designing future investments in health system strengthening or implementing WBW-style strategies in other provinces, should actively and consistently engage with implementing partners on sustainability at the design, </w:t>
            </w:r>
            <w:proofErr w:type="gramStart"/>
            <w:r w:rsidRPr="00A85748">
              <w:rPr>
                <w:rFonts w:eastAsia="Times New Roman" w:cstheme="minorHAnsi"/>
                <w:b/>
              </w:rPr>
              <w:t>implementation</w:t>
            </w:r>
            <w:proofErr w:type="gramEnd"/>
            <w:r w:rsidRPr="00A85748">
              <w:rPr>
                <w:rFonts w:eastAsia="Times New Roman" w:cstheme="minorHAnsi"/>
                <w:b/>
              </w:rPr>
              <w:t xml:space="preserve"> and reporting phases. This could be achieved, for example, by including sustainability as a specific consideration in the program logic, ensuring partners implement sustainability-focused activities throughout the implementation period, and require all partners to monitor, reflect and report on sustainability-related achievements.</w:t>
            </w:r>
            <w:r w:rsidRPr="006414AA">
              <w:rPr>
                <w:rFonts w:asciiTheme="majorHAnsi" w:hAnsiTheme="majorHAnsi" w:cstheme="majorHAnsi"/>
              </w:rPr>
              <w:t xml:space="preserve">  </w:t>
            </w:r>
          </w:p>
        </w:tc>
        <w:tc>
          <w:tcPr>
            <w:tcW w:w="1701" w:type="dxa"/>
            <w:vAlign w:val="center"/>
          </w:tcPr>
          <w:p w14:paraId="1025E8AD" w14:textId="7284E4FE" w:rsidR="00254E1F" w:rsidRPr="001533E1" w:rsidRDefault="00254E1F" w:rsidP="00254E1F">
            <w:pPr>
              <w:rPr>
                <w:rFonts w:eastAsia="Times New Roman" w:cstheme="minorHAnsi"/>
                <w:b/>
                <w:bCs/>
                <w:i/>
                <w:iCs/>
              </w:rPr>
            </w:pPr>
            <w:r w:rsidRPr="001533E1">
              <w:rPr>
                <w:rFonts w:asciiTheme="majorHAnsi" w:eastAsia="Times New Roman" w:hAnsiTheme="majorHAnsi" w:cstheme="majorHAnsi"/>
                <w:b/>
                <w:bCs/>
                <w:color w:val="000000"/>
                <w:lang w:eastAsia="en-AU"/>
              </w:rPr>
              <w:t>Agree</w:t>
            </w:r>
          </w:p>
        </w:tc>
        <w:tc>
          <w:tcPr>
            <w:tcW w:w="5670" w:type="dxa"/>
          </w:tcPr>
          <w:p w14:paraId="3DDFDD4D" w14:textId="77777777" w:rsidR="00254E1F" w:rsidRDefault="00254E1F" w:rsidP="00254E1F">
            <w:pPr>
              <w:rPr>
                <w:rFonts w:eastAsia="Times New Roman" w:cstheme="minorHAnsi"/>
                <w:i/>
                <w:iCs/>
              </w:rPr>
            </w:pPr>
          </w:p>
          <w:p w14:paraId="6436797C" w14:textId="77777777" w:rsidR="00254E1F" w:rsidRDefault="00254E1F" w:rsidP="00254E1F">
            <w:pPr>
              <w:rPr>
                <w:rFonts w:eastAsia="Times New Roman" w:cstheme="minorHAnsi"/>
                <w:i/>
                <w:iCs/>
              </w:rPr>
            </w:pPr>
            <w:r w:rsidRPr="00A85748">
              <w:rPr>
                <w:rFonts w:eastAsia="Times New Roman" w:cstheme="minorHAnsi"/>
                <w:i/>
                <w:iCs/>
              </w:rPr>
              <w:t xml:space="preserve">DFAT’s Investment Design Quality Criteria </w:t>
            </w:r>
            <w:r w:rsidRPr="00A85748">
              <w:rPr>
                <w:rFonts w:cstheme="minorHAnsi"/>
                <w:i/>
                <w:iCs/>
              </w:rPr>
              <w:t xml:space="preserve">require that investment designs identify what </w:t>
            </w:r>
            <w:r w:rsidRPr="00A85748">
              <w:rPr>
                <w:rFonts w:eastAsia="Times New Roman" w:cstheme="minorHAnsi"/>
                <w:i/>
                <w:iCs/>
                <w:lang w:val="en-GB"/>
              </w:rPr>
              <w:t xml:space="preserve">sustainable benefits </w:t>
            </w:r>
            <w:r w:rsidRPr="00A85748">
              <w:rPr>
                <w:rFonts w:cstheme="minorHAnsi"/>
                <w:i/>
                <w:iCs/>
              </w:rPr>
              <w:t>the investment aims to generate and s</w:t>
            </w:r>
            <w:proofErr w:type="spellStart"/>
            <w:r w:rsidRPr="00A85748">
              <w:rPr>
                <w:rFonts w:eastAsia="Times New Roman" w:cstheme="minorHAnsi"/>
                <w:i/>
                <w:iCs/>
                <w:lang w:val="en-GB"/>
              </w:rPr>
              <w:t>trategies</w:t>
            </w:r>
            <w:proofErr w:type="spellEnd"/>
            <w:r w:rsidRPr="00A85748">
              <w:rPr>
                <w:rFonts w:eastAsia="Times New Roman" w:cstheme="minorHAnsi"/>
                <w:i/>
                <w:iCs/>
                <w:lang w:val="en-GB"/>
              </w:rPr>
              <w:t xml:space="preserve"> to achieve these</w:t>
            </w:r>
            <w:r w:rsidRPr="00A85748">
              <w:rPr>
                <w:rFonts w:cstheme="minorHAnsi"/>
                <w:i/>
                <w:iCs/>
              </w:rPr>
              <w:t>, as well as identifying and addressing constraints to sustainability. Implementation of a sustainability strategy is also a criteri</w:t>
            </w:r>
            <w:r>
              <w:rPr>
                <w:rFonts w:cstheme="minorHAnsi"/>
                <w:i/>
                <w:iCs/>
              </w:rPr>
              <w:t>on</w:t>
            </w:r>
            <w:r w:rsidRPr="00A85748">
              <w:rPr>
                <w:rFonts w:cstheme="minorHAnsi"/>
                <w:i/>
                <w:iCs/>
              </w:rPr>
              <w:t xml:space="preserve"> for assessing investment effectiveness as part of annual Investment Monitoring Reports. </w:t>
            </w:r>
            <w:r w:rsidRPr="00A85748">
              <w:rPr>
                <w:rFonts w:eastAsia="Times New Roman" w:cstheme="minorHAnsi"/>
                <w:i/>
                <w:iCs/>
              </w:rPr>
              <w:t>In the case of WBW, we found little evidence of sustainability being strategically considered or communicated with stakeholders during the funding period, which decreases the likelihood that improvements will be sustainable. While it can be reasonable to assume that the improvements in PHA capacity and processes will be sustained, many interviewees expressed concerns about sustainability, particularly regarding the need for ongoing funding of health services (a challenge also noted in the WBW Sustainability and Exit Strategy), lack of succession planning for PHA leadership and senior executive, and the lack of common understanding amongst stakeholders of what sustainability would look like for WBW or how it could be achieved. A more explicit sustainability strategy may have helped address these challenges.</w:t>
            </w:r>
          </w:p>
          <w:p w14:paraId="085C5FC7" w14:textId="44ED71E0" w:rsidR="00254E1F" w:rsidRPr="00A85748" w:rsidRDefault="00254E1F" w:rsidP="00254E1F">
            <w:pPr>
              <w:rPr>
                <w:rFonts w:asciiTheme="majorHAnsi" w:hAnsiTheme="majorHAnsi" w:cstheme="majorHAnsi"/>
                <w:i/>
                <w:iCs/>
              </w:rPr>
            </w:pPr>
          </w:p>
        </w:tc>
        <w:tc>
          <w:tcPr>
            <w:tcW w:w="6238" w:type="dxa"/>
            <w:vAlign w:val="center"/>
          </w:tcPr>
          <w:p w14:paraId="2925FE3D" w14:textId="3197396F" w:rsidR="00F10C67" w:rsidRDefault="00F10C67" w:rsidP="00F10C67">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Sustainability is a central pillar of the DFAT development framework and is integrated within and measured in DFAT’s implementing partner agreements and performance monitoring. </w:t>
            </w:r>
          </w:p>
          <w:p w14:paraId="118337E9" w14:textId="72049E4A" w:rsidR="00F10C67" w:rsidRDefault="00F10C67" w:rsidP="00F10C67">
            <w:pPr>
              <w:rPr>
                <w:rFonts w:asciiTheme="majorHAnsi" w:eastAsia="Times New Roman" w:hAnsiTheme="majorHAnsi" w:cstheme="majorHAnsi"/>
                <w:color w:val="000000"/>
                <w:lang w:eastAsia="en-AU"/>
              </w:rPr>
            </w:pPr>
          </w:p>
          <w:p w14:paraId="36396303" w14:textId="6A0270F9" w:rsidR="00F10C67" w:rsidRDefault="00F10C67" w:rsidP="00F10C67">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DFAT will continue to engage with implementing partners to ensure sustainability is appropriately addressed at all stages of the program cycle.</w:t>
            </w:r>
          </w:p>
          <w:p w14:paraId="2E2D65B0" w14:textId="77777777" w:rsidR="0043752F" w:rsidRDefault="0043752F" w:rsidP="00254E1F">
            <w:pPr>
              <w:rPr>
                <w:rFonts w:asciiTheme="majorHAnsi" w:eastAsia="Times New Roman" w:hAnsiTheme="majorHAnsi" w:cstheme="majorHAnsi"/>
                <w:color w:val="000000"/>
                <w:lang w:eastAsia="en-AU"/>
              </w:rPr>
            </w:pPr>
          </w:p>
          <w:p w14:paraId="00F77887" w14:textId="48388723" w:rsidR="00C23AED" w:rsidRDefault="00254E1F" w:rsidP="00254E1F">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WBW was a pilot program with a focus on strengthening PHA administrative capacities and partnerships over a relatively short timeframe</w:t>
            </w:r>
            <w:r w:rsidR="00F10C67">
              <w:rPr>
                <w:rFonts w:asciiTheme="majorHAnsi" w:eastAsia="Times New Roman" w:hAnsiTheme="majorHAnsi" w:cstheme="majorHAnsi"/>
                <w:color w:val="000000"/>
                <w:lang w:eastAsia="en-AU"/>
              </w:rPr>
              <w:t xml:space="preserve">. </w:t>
            </w:r>
            <w:r w:rsidR="00344F5C">
              <w:rPr>
                <w:rFonts w:asciiTheme="majorHAnsi" w:eastAsia="Times New Roman" w:hAnsiTheme="majorHAnsi" w:cstheme="majorHAnsi"/>
                <w:color w:val="000000"/>
                <w:lang w:eastAsia="en-AU"/>
              </w:rPr>
              <w:t>WBW has</w:t>
            </w:r>
            <w:r w:rsidR="00F10C67">
              <w:rPr>
                <w:rFonts w:asciiTheme="majorHAnsi" w:eastAsia="Times New Roman" w:hAnsiTheme="majorHAnsi" w:cstheme="majorHAnsi"/>
                <w:color w:val="000000"/>
                <w:lang w:eastAsia="en-AU"/>
              </w:rPr>
              <w:t>,</w:t>
            </w:r>
            <w:r w:rsidR="00344F5C">
              <w:rPr>
                <w:rFonts w:asciiTheme="majorHAnsi" w:eastAsia="Times New Roman" w:hAnsiTheme="majorHAnsi" w:cstheme="majorHAnsi"/>
                <w:color w:val="000000"/>
                <w:lang w:eastAsia="en-AU"/>
              </w:rPr>
              <w:t xml:space="preserve"> </w:t>
            </w:r>
            <w:r w:rsidR="00F10C67">
              <w:rPr>
                <w:rFonts w:asciiTheme="majorHAnsi" w:eastAsia="Times New Roman" w:hAnsiTheme="majorHAnsi" w:cstheme="majorHAnsi"/>
                <w:color w:val="000000"/>
                <w:lang w:eastAsia="en-AU"/>
              </w:rPr>
              <w:t xml:space="preserve">however, </w:t>
            </w:r>
            <w:r w:rsidR="00344F5C">
              <w:rPr>
                <w:rFonts w:asciiTheme="majorHAnsi" w:eastAsia="Times New Roman" w:hAnsiTheme="majorHAnsi" w:cstheme="majorHAnsi"/>
                <w:color w:val="000000"/>
                <w:lang w:eastAsia="en-AU"/>
              </w:rPr>
              <w:t>supported the PHA’s transition to a more efficient and effective approach to planning, management and partnerships which contributes to increased future sustainability of the PHA</w:t>
            </w:r>
            <w:r w:rsidR="000014B0">
              <w:rPr>
                <w:rFonts w:asciiTheme="majorHAnsi" w:eastAsia="Times New Roman" w:hAnsiTheme="majorHAnsi" w:cstheme="majorHAnsi"/>
                <w:color w:val="000000"/>
                <w:lang w:eastAsia="en-AU"/>
              </w:rPr>
              <w:t xml:space="preserve"> in the PNG context</w:t>
            </w:r>
            <w:r w:rsidR="00344F5C">
              <w:rPr>
                <w:rFonts w:asciiTheme="majorHAnsi" w:eastAsia="Times New Roman" w:hAnsiTheme="majorHAnsi" w:cstheme="majorHAnsi"/>
                <w:color w:val="000000"/>
                <w:lang w:eastAsia="en-AU"/>
              </w:rPr>
              <w:t>.</w:t>
            </w:r>
          </w:p>
          <w:p w14:paraId="595E390A" w14:textId="08950897" w:rsidR="00254E1F" w:rsidRPr="00665C4E" w:rsidRDefault="00254E1F" w:rsidP="00F10C67">
            <w:pPr>
              <w:rPr>
                <w:rFonts w:asciiTheme="majorHAnsi" w:eastAsia="Times New Roman" w:hAnsiTheme="majorHAnsi" w:cstheme="majorHAnsi"/>
                <w:color w:val="000000"/>
                <w:lang w:eastAsia="en-AU"/>
              </w:rPr>
            </w:pPr>
          </w:p>
        </w:tc>
        <w:tc>
          <w:tcPr>
            <w:tcW w:w="2979" w:type="dxa"/>
            <w:vAlign w:val="center"/>
          </w:tcPr>
          <w:p w14:paraId="0EBF2208" w14:textId="38E8DD76" w:rsidR="00254E1F" w:rsidRPr="006B0640" w:rsidRDefault="002D7D9D" w:rsidP="00254E1F">
            <w:pPr>
              <w:rPr>
                <w:rFonts w:asciiTheme="majorHAnsi" w:eastAsia="Times New Roman" w:hAnsiTheme="majorHAnsi" w:cstheme="majorHAnsi"/>
                <w:lang w:eastAsia="en-AU"/>
              </w:rPr>
            </w:pPr>
            <w:r>
              <w:rPr>
                <w:rFonts w:asciiTheme="majorHAnsi" w:eastAsia="Times New Roman" w:hAnsiTheme="majorHAnsi" w:cstheme="majorHAnsi"/>
                <w:color w:val="000000"/>
                <w:lang w:eastAsia="en-AU"/>
              </w:rPr>
              <w:t>Ongoing until 2025</w:t>
            </w:r>
          </w:p>
        </w:tc>
      </w:tr>
      <w:tr w:rsidR="00254E1F" w:rsidRPr="006B0640" w14:paraId="43E7044F" w14:textId="77777777" w:rsidTr="001533E1">
        <w:tc>
          <w:tcPr>
            <w:tcW w:w="3964" w:type="dxa"/>
            <w:vAlign w:val="center"/>
          </w:tcPr>
          <w:p w14:paraId="3A4F5104" w14:textId="77777777" w:rsidR="00F10C67" w:rsidRDefault="0043752F" w:rsidP="00254E1F">
            <w:pPr>
              <w:rPr>
                <w:rFonts w:eastAsia="Times New Roman" w:cstheme="minorHAnsi"/>
                <w:b/>
              </w:rPr>
            </w:pPr>
            <w:r>
              <w:rPr>
                <w:rFonts w:asciiTheme="majorHAnsi" w:eastAsia="Times New Roman" w:hAnsiTheme="majorHAnsi" w:cstheme="majorHAnsi"/>
                <w:b/>
                <w:bCs/>
                <w:color w:val="000000"/>
                <w:lang w:eastAsia="en-AU"/>
              </w:rPr>
              <w:t>Recommendation</w:t>
            </w:r>
            <w:r w:rsidRPr="006B0640">
              <w:rPr>
                <w:rFonts w:asciiTheme="majorHAnsi" w:eastAsia="Times New Roman" w:hAnsiTheme="majorHAnsi" w:cstheme="majorHAnsi"/>
                <w:b/>
                <w:bCs/>
                <w:color w:val="000000"/>
                <w:lang w:eastAsia="en-AU"/>
              </w:rPr>
              <w:t xml:space="preserve"> </w:t>
            </w:r>
            <w:r w:rsidR="00254E1F">
              <w:rPr>
                <w:rFonts w:eastAsia="Times New Roman" w:cstheme="minorHAnsi"/>
                <w:b/>
              </w:rPr>
              <w:t xml:space="preserve">6: </w:t>
            </w:r>
          </w:p>
          <w:p w14:paraId="06630EF0" w14:textId="14632356" w:rsidR="00254E1F" w:rsidRPr="00A85748" w:rsidRDefault="00254E1F" w:rsidP="00254E1F">
            <w:pPr>
              <w:rPr>
                <w:rFonts w:eastAsia="Times New Roman" w:cstheme="minorHAnsi"/>
                <w:b/>
              </w:rPr>
            </w:pPr>
            <w:r w:rsidRPr="00A85748">
              <w:rPr>
                <w:rFonts w:eastAsia="Times New Roman" w:cstheme="minorHAnsi"/>
                <w:b/>
              </w:rPr>
              <w:t xml:space="preserve">The AHC, either directly or through PATH, should develop guidance materials on effective and/or sustainable approaches to PHA strengthening, or to health system strengthening more broadly. </w:t>
            </w:r>
          </w:p>
          <w:p w14:paraId="140B1FB0" w14:textId="77777777" w:rsidR="00254E1F" w:rsidRPr="006414AA" w:rsidRDefault="00254E1F" w:rsidP="00254E1F">
            <w:pPr>
              <w:rPr>
                <w:rFonts w:asciiTheme="majorHAnsi" w:hAnsiTheme="majorHAnsi" w:cstheme="majorHAnsi"/>
              </w:rPr>
            </w:pPr>
          </w:p>
        </w:tc>
        <w:tc>
          <w:tcPr>
            <w:tcW w:w="1701" w:type="dxa"/>
            <w:vAlign w:val="center"/>
          </w:tcPr>
          <w:p w14:paraId="781D109A" w14:textId="5C610A2E" w:rsidR="00254E1F" w:rsidRPr="001533E1" w:rsidRDefault="0028757B" w:rsidP="00254E1F">
            <w:pPr>
              <w:rPr>
                <w:rFonts w:eastAsia="Times New Roman" w:cstheme="minorHAnsi"/>
                <w:b/>
                <w:bCs/>
                <w:i/>
                <w:iCs/>
              </w:rPr>
            </w:pPr>
            <w:r>
              <w:rPr>
                <w:rFonts w:asciiTheme="majorHAnsi" w:eastAsia="Times New Roman" w:hAnsiTheme="majorHAnsi" w:cstheme="majorHAnsi"/>
                <w:b/>
                <w:bCs/>
                <w:color w:val="000000"/>
                <w:lang w:eastAsia="en-AU"/>
              </w:rPr>
              <w:t>A</w:t>
            </w:r>
            <w:r w:rsidR="00254E1F" w:rsidRPr="001533E1">
              <w:rPr>
                <w:rFonts w:asciiTheme="majorHAnsi" w:eastAsia="Times New Roman" w:hAnsiTheme="majorHAnsi" w:cstheme="majorHAnsi"/>
                <w:b/>
                <w:bCs/>
                <w:color w:val="000000"/>
                <w:lang w:eastAsia="en-AU"/>
              </w:rPr>
              <w:t>gree</w:t>
            </w:r>
          </w:p>
        </w:tc>
        <w:tc>
          <w:tcPr>
            <w:tcW w:w="5670" w:type="dxa"/>
          </w:tcPr>
          <w:p w14:paraId="4E5FC7FA" w14:textId="77777777" w:rsidR="00254E1F" w:rsidRDefault="00254E1F" w:rsidP="00254E1F">
            <w:pPr>
              <w:rPr>
                <w:rFonts w:eastAsia="Times New Roman" w:cstheme="minorHAnsi"/>
                <w:i/>
                <w:iCs/>
              </w:rPr>
            </w:pPr>
          </w:p>
          <w:p w14:paraId="5BEC6D94" w14:textId="474D9E78" w:rsidR="00254E1F" w:rsidRPr="00A85748" w:rsidRDefault="00254E1F" w:rsidP="00C23AED">
            <w:pPr>
              <w:rPr>
                <w:rFonts w:asciiTheme="majorHAnsi" w:hAnsiTheme="majorHAnsi" w:cstheme="majorHAnsi"/>
                <w:i/>
                <w:iCs/>
              </w:rPr>
            </w:pPr>
            <w:r w:rsidRPr="00A85748">
              <w:rPr>
                <w:rFonts w:eastAsia="Times New Roman" w:cstheme="minorHAnsi"/>
                <w:i/>
                <w:iCs/>
              </w:rPr>
              <w:t xml:space="preserve">Sustainability is an ongoing challenge especially if WBW-style strategies are implemented in other provinces. It is also likely to be a shared challenge across PHAs, PATH projects, and across the AHC’s health portfolio more broadly. As such, there may be value in developing guidance materials on sustainability, to promote a shared vision and evidence-based approach to sustainability across investments. The guidance could, for example, articulate a shared definition of sustainability, provide guidance to implementing partners on DFAT design and monitoring requirements regarding sustainability, share lessons learned from WBW, and provide examples of sustainability approaches that have been successful elsewhere. Such guidance could be shared with AHC staff, implementing partners, sub-grantees, PHAs and other stakeholders as relevant. </w:t>
            </w:r>
          </w:p>
        </w:tc>
        <w:tc>
          <w:tcPr>
            <w:tcW w:w="6238" w:type="dxa"/>
            <w:vAlign w:val="center"/>
          </w:tcPr>
          <w:p w14:paraId="27276B0D" w14:textId="77777777" w:rsidR="00F61AEE" w:rsidRDefault="00F61AEE" w:rsidP="00A10534">
            <w:pPr>
              <w:rPr>
                <w:rFonts w:asciiTheme="majorHAnsi" w:eastAsia="Times New Roman" w:hAnsiTheme="majorHAnsi" w:cstheme="majorHAnsi"/>
                <w:color w:val="000000"/>
                <w:lang w:eastAsia="en-AU"/>
              </w:rPr>
            </w:pPr>
          </w:p>
          <w:p w14:paraId="320F51E8" w14:textId="161B85BC" w:rsidR="00254E1F" w:rsidRDefault="00254E1F" w:rsidP="00254E1F">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The PATH program is developing its approach to strengthening the capacity of PHAs in the six demonstration provinces. The aim is for information on the strengthened capacity, processes, </w:t>
            </w:r>
            <w:proofErr w:type="gramStart"/>
            <w:r>
              <w:rPr>
                <w:rFonts w:asciiTheme="majorHAnsi" w:eastAsia="Times New Roman" w:hAnsiTheme="majorHAnsi" w:cstheme="majorHAnsi"/>
                <w:color w:val="000000"/>
                <w:lang w:eastAsia="en-AU"/>
              </w:rPr>
              <w:t>reforms</w:t>
            </w:r>
            <w:proofErr w:type="gramEnd"/>
            <w:r>
              <w:rPr>
                <w:rFonts w:asciiTheme="majorHAnsi" w:eastAsia="Times New Roman" w:hAnsiTheme="majorHAnsi" w:cstheme="majorHAnsi"/>
                <w:color w:val="000000"/>
                <w:lang w:eastAsia="en-AU"/>
              </w:rPr>
              <w:t xml:space="preserve"> and innovative approaches to be shared with other provinces</w:t>
            </w:r>
            <w:r w:rsidR="00C23AED">
              <w:rPr>
                <w:rFonts w:asciiTheme="majorHAnsi" w:eastAsia="Times New Roman" w:hAnsiTheme="majorHAnsi" w:cstheme="majorHAnsi"/>
                <w:color w:val="000000"/>
                <w:lang w:eastAsia="en-AU"/>
              </w:rPr>
              <w:t>’ health authorities</w:t>
            </w:r>
            <w:r>
              <w:rPr>
                <w:rFonts w:asciiTheme="majorHAnsi" w:eastAsia="Times New Roman" w:hAnsiTheme="majorHAnsi" w:cstheme="majorHAnsi"/>
                <w:color w:val="000000"/>
                <w:lang w:eastAsia="en-AU"/>
              </w:rPr>
              <w:t xml:space="preserve"> </w:t>
            </w:r>
            <w:r w:rsidR="00C23AED">
              <w:rPr>
                <w:rFonts w:asciiTheme="majorHAnsi" w:eastAsia="Times New Roman" w:hAnsiTheme="majorHAnsi" w:cstheme="majorHAnsi"/>
                <w:color w:val="000000"/>
                <w:lang w:eastAsia="en-AU"/>
              </w:rPr>
              <w:t>via</w:t>
            </w:r>
            <w:r>
              <w:rPr>
                <w:rFonts w:asciiTheme="majorHAnsi" w:eastAsia="Times New Roman" w:hAnsiTheme="majorHAnsi" w:cstheme="majorHAnsi"/>
                <w:color w:val="000000"/>
                <w:lang w:eastAsia="en-AU"/>
              </w:rPr>
              <w:t xml:space="preserve"> documentation, meetings and workshops</w:t>
            </w:r>
            <w:r w:rsidR="00C23AED">
              <w:rPr>
                <w:rFonts w:asciiTheme="majorHAnsi" w:eastAsia="Times New Roman" w:hAnsiTheme="majorHAnsi" w:cstheme="majorHAnsi"/>
                <w:color w:val="000000"/>
                <w:lang w:eastAsia="en-AU"/>
              </w:rPr>
              <w:t>,</w:t>
            </w:r>
            <w:r>
              <w:rPr>
                <w:rFonts w:asciiTheme="majorHAnsi" w:eastAsia="Times New Roman" w:hAnsiTheme="majorHAnsi" w:cstheme="majorHAnsi"/>
                <w:color w:val="000000"/>
                <w:lang w:eastAsia="en-AU"/>
              </w:rPr>
              <w:t xml:space="preserve"> with a view to </w:t>
            </w:r>
            <w:r w:rsidR="00C23AED">
              <w:rPr>
                <w:rFonts w:asciiTheme="majorHAnsi" w:eastAsia="Times New Roman" w:hAnsiTheme="majorHAnsi" w:cstheme="majorHAnsi"/>
                <w:color w:val="000000"/>
                <w:lang w:eastAsia="en-AU"/>
              </w:rPr>
              <w:t xml:space="preserve">extending </w:t>
            </w:r>
            <w:r>
              <w:rPr>
                <w:rFonts w:asciiTheme="majorHAnsi" w:eastAsia="Times New Roman" w:hAnsiTheme="majorHAnsi" w:cstheme="majorHAnsi"/>
                <w:color w:val="000000"/>
                <w:lang w:eastAsia="en-AU"/>
              </w:rPr>
              <w:t>the capabilities of PHAs beyond the nominal reach of PATH.</w:t>
            </w:r>
          </w:p>
          <w:p w14:paraId="38E64CF2" w14:textId="77777777" w:rsidR="00C23AED" w:rsidRDefault="00C23AED" w:rsidP="00254E1F">
            <w:pPr>
              <w:rPr>
                <w:rFonts w:asciiTheme="majorHAnsi" w:eastAsia="Times New Roman" w:hAnsiTheme="majorHAnsi" w:cstheme="majorHAnsi"/>
                <w:color w:val="000000"/>
                <w:lang w:eastAsia="en-AU"/>
              </w:rPr>
            </w:pPr>
          </w:p>
          <w:p w14:paraId="0E1C5AA9" w14:textId="171A9EB2" w:rsidR="0028757B" w:rsidRDefault="00254E1F" w:rsidP="0028757B">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PATH is collaborating with HSSDP to </w:t>
            </w:r>
            <w:r w:rsidR="00C23AED">
              <w:rPr>
                <w:rFonts w:asciiTheme="majorHAnsi" w:eastAsia="Times New Roman" w:hAnsiTheme="majorHAnsi" w:cstheme="majorHAnsi"/>
                <w:color w:val="000000"/>
                <w:lang w:eastAsia="en-AU"/>
              </w:rPr>
              <w:t>capture</w:t>
            </w:r>
            <w:r>
              <w:rPr>
                <w:rFonts w:asciiTheme="majorHAnsi" w:eastAsia="Times New Roman" w:hAnsiTheme="majorHAnsi" w:cstheme="majorHAnsi"/>
                <w:color w:val="000000"/>
                <w:lang w:eastAsia="en-AU"/>
              </w:rPr>
              <w:t xml:space="preserve"> shared learnings and </w:t>
            </w:r>
            <w:r w:rsidR="0028757B">
              <w:rPr>
                <w:rFonts w:asciiTheme="majorHAnsi" w:eastAsia="Times New Roman" w:hAnsiTheme="majorHAnsi" w:cstheme="majorHAnsi"/>
                <w:color w:val="000000"/>
                <w:lang w:eastAsia="en-AU"/>
              </w:rPr>
              <w:t>develop guidance materials on effective and sustainable approaches to health system and PHA strengthening</w:t>
            </w:r>
            <w:r w:rsidR="000014B0">
              <w:rPr>
                <w:rFonts w:asciiTheme="majorHAnsi" w:eastAsia="Times New Roman" w:hAnsiTheme="majorHAnsi" w:cstheme="majorHAnsi"/>
                <w:color w:val="000000"/>
                <w:lang w:eastAsia="en-AU"/>
              </w:rPr>
              <w:t>, set realistically within the PNG context</w:t>
            </w:r>
            <w:r w:rsidR="0028757B" w:rsidRPr="00021502">
              <w:rPr>
                <w:rFonts w:asciiTheme="majorHAnsi" w:eastAsia="Times New Roman" w:hAnsiTheme="majorHAnsi" w:cstheme="majorHAnsi"/>
                <w:color w:val="000000"/>
                <w:lang w:eastAsia="en-AU"/>
              </w:rPr>
              <w:t xml:space="preserve">. </w:t>
            </w:r>
          </w:p>
          <w:p w14:paraId="70CEAE4D" w14:textId="505F812C" w:rsidR="0028757B" w:rsidRDefault="0028757B" w:rsidP="0028757B">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DFAT will work with PATH and HSSDP to ensure they apply this guidance through all their activities and that other partners cab share and use the guidance effectively. </w:t>
            </w:r>
          </w:p>
          <w:p w14:paraId="352896AA" w14:textId="77777777" w:rsidR="00254E1F" w:rsidRPr="00665C4E" w:rsidRDefault="00254E1F" w:rsidP="00254E1F">
            <w:pPr>
              <w:rPr>
                <w:rFonts w:asciiTheme="majorHAnsi" w:eastAsia="Times New Roman" w:hAnsiTheme="majorHAnsi" w:cstheme="majorHAnsi"/>
                <w:color w:val="000000"/>
                <w:lang w:eastAsia="en-AU"/>
              </w:rPr>
            </w:pPr>
          </w:p>
        </w:tc>
        <w:tc>
          <w:tcPr>
            <w:tcW w:w="2979" w:type="dxa"/>
            <w:vAlign w:val="center"/>
          </w:tcPr>
          <w:p w14:paraId="7128C3A8" w14:textId="5884D201" w:rsidR="00254E1F" w:rsidRPr="006B0640" w:rsidRDefault="002D7D9D" w:rsidP="00254E1F">
            <w:pPr>
              <w:rPr>
                <w:rFonts w:asciiTheme="majorHAnsi" w:eastAsia="Times New Roman" w:hAnsiTheme="majorHAnsi" w:cstheme="majorHAnsi"/>
                <w:lang w:eastAsia="en-AU"/>
              </w:rPr>
            </w:pPr>
            <w:r>
              <w:rPr>
                <w:rFonts w:asciiTheme="majorHAnsi" w:eastAsia="Times New Roman" w:hAnsiTheme="majorHAnsi" w:cstheme="majorHAnsi"/>
                <w:color w:val="000000"/>
                <w:lang w:eastAsia="en-AU"/>
              </w:rPr>
              <w:t>Ongoing until 2025</w:t>
            </w:r>
          </w:p>
        </w:tc>
      </w:tr>
    </w:tbl>
    <w:p w14:paraId="49E38213" w14:textId="77777777" w:rsidR="007D1270" w:rsidRPr="00D966AB" w:rsidRDefault="007D1270" w:rsidP="003571B1">
      <w:pPr>
        <w:rPr>
          <w:sz w:val="24"/>
          <w:szCs w:val="24"/>
        </w:rPr>
      </w:pPr>
    </w:p>
    <w:sectPr w:rsidR="007D1270" w:rsidRPr="00D966AB" w:rsidSect="004C1BBA">
      <w:footerReference w:type="default" r:id="rId11"/>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2C59B" w14:textId="77777777" w:rsidR="00B35581" w:rsidRDefault="00B35581" w:rsidP="009F0338">
      <w:pPr>
        <w:spacing w:after="0" w:line="240" w:lineRule="auto"/>
      </w:pPr>
      <w:r>
        <w:separator/>
      </w:r>
    </w:p>
  </w:endnote>
  <w:endnote w:type="continuationSeparator" w:id="0">
    <w:p w14:paraId="4EA028C8" w14:textId="77777777" w:rsidR="00B35581" w:rsidRDefault="00B35581" w:rsidP="009F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95"/>
      <w:docPartObj>
        <w:docPartGallery w:val="Page Numbers (Bottom of Page)"/>
        <w:docPartUnique/>
      </w:docPartObj>
    </w:sdtPr>
    <w:sdtEndPr>
      <w:rPr>
        <w:noProof/>
      </w:rPr>
    </w:sdtEndPr>
    <w:sdtContent>
      <w:p w14:paraId="5CB179C1" w14:textId="7E0D7932" w:rsidR="00F74277" w:rsidRDefault="00F74277">
        <w:pPr>
          <w:pStyle w:val="Footer"/>
          <w:jc w:val="right"/>
        </w:pPr>
        <w:r>
          <w:fldChar w:fldCharType="begin"/>
        </w:r>
        <w:r>
          <w:instrText xml:space="preserve"> PAGE   \* MERGEFORMAT </w:instrText>
        </w:r>
        <w:r>
          <w:fldChar w:fldCharType="separate"/>
        </w:r>
        <w:r w:rsidR="0013274A">
          <w:rPr>
            <w:noProof/>
          </w:rPr>
          <w:t>1</w:t>
        </w:r>
        <w:r>
          <w:rPr>
            <w:noProof/>
          </w:rPr>
          <w:fldChar w:fldCharType="end"/>
        </w:r>
      </w:p>
    </w:sdtContent>
  </w:sdt>
  <w:p w14:paraId="1F98C7EB" w14:textId="77777777" w:rsidR="00F74277" w:rsidRDefault="00F74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C37F7" w14:textId="77777777" w:rsidR="00B35581" w:rsidRDefault="00B35581" w:rsidP="009F0338">
      <w:pPr>
        <w:spacing w:after="0" w:line="240" w:lineRule="auto"/>
      </w:pPr>
      <w:r>
        <w:separator/>
      </w:r>
    </w:p>
  </w:footnote>
  <w:footnote w:type="continuationSeparator" w:id="0">
    <w:p w14:paraId="7BD22886" w14:textId="77777777" w:rsidR="00B35581" w:rsidRDefault="00B35581" w:rsidP="009F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F682AC"/>
    <w:lvl w:ilvl="0">
      <w:start w:val="1"/>
      <w:numFmt w:val="decimal"/>
      <w:lvlText w:val="%1."/>
      <w:lvlJc w:val="left"/>
      <w:pPr>
        <w:tabs>
          <w:tab w:val="num" w:pos="643"/>
        </w:tabs>
        <w:ind w:left="643" w:hanging="360"/>
      </w:pPr>
    </w:lvl>
  </w:abstractNum>
  <w:abstractNum w:abstractNumId="1" w15:restartNumberingAfterBreak="0">
    <w:nsid w:val="1A8B0253"/>
    <w:multiLevelType w:val="hybridMultilevel"/>
    <w:tmpl w:val="461C1288"/>
    <w:lvl w:ilvl="0" w:tplc="42D2F9E4">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24800A89"/>
    <w:multiLevelType w:val="hybridMultilevel"/>
    <w:tmpl w:val="461C1288"/>
    <w:lvl w:ilvl="0" w:tplc="42D2F9E4">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32E37439"/>
    <w:multiLevelType w:val="hybridMultilevel"/>
    <w:tmpl w:val="1D048F3E"/>
    <w:lvl w:ilvl="0" w:tplc="91D29FDC">
      <w:start w:val="4"/>
      <w:numFmt w:val="decimal"/>
      <w:lvlText w:val="%1."/>
      <w:lvlJc w:val="left"/>
      <w:pPr>
        <w:ind w:left="360" w:hanging="360"/>
      </w:pPr>
      <w:rPr>
        <w:rFonts w:cs="Times New Roman"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672394F"/>
    <w:multiLevelType w:val="hybridMultilevel"/>
    <w:tmpl w:val="43F47508"/>
    <w:lvl w:ilvl="0" w:tplc="42D2F9E4">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551B42D8"/>
    <w:multiLevelType w:val="hybridMultilevel"/>
    <w:tmpl w:val="36F6EA90"/>
    <w:lvl w:ilvl="0" w:tplc="42D2F9E4">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64DB7100"/>
    <w:multiLevelType w:val="hybridMultilevel"/>
    <w:tmpl w:val="461C1288"/>
    <w:lvl w:ilvl="0" w:tplc="42D2F9E4">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669F2A83"/>
    <w:multiLevelType w:val="hybridMultilevel"/>
    <w:tmpl w:val="43F47508"/>
    <w:lvl w:ilvl="0" w:tplc="42D2F9E4">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A29737E"/>
    <w:multiLevelType w:val="multilevel"/>
    <w:tmpl w:val="E502392A"/>
    <w:lvl w:ilvl="0">
      <w:start w:val="1"/>
      <w:numFmt w:val="decimal"/>
      <w:pStyle w:val="Footnote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28814A6"/>
    <w:multiLevelType w:val="hybridMultilevel"/>
    <w:tmpl w:val="76F2C5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5"/>
  </w:num>
  <w:num w:numId="5">
    <w:abstractNumId w:val="7"/>
  </w:num>
  <w:num w:numId="6">
    <w:abstractNumId w:val="4"/>
  </w:num>
  <w:num w:numId="7">
    <w:abstractNumId w:val="3"/>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7E"/>
    <w:rsid w:val="000011A8"/>
    <w:rsid w:val="000014B0"/>
    <w:rsid w:val="00003211"/>
    <w:rsid w:val="000048AB"/>
    <w:rsid w:val="00004A40"/>
    <w:rsid w:val="000108C4"/>
    <w:rsid w:val="0001526D"/>
    <w:rsid w:val="000246EB"/>
    <w:rsid w:val="0003435E"/>
    <w:rsid w:val="000349F0"/>
    <w:rsid w:val="00042AD2"/>
    <w:rsid w:val="00066952"/>
    <w:rsid w:val="000739AF"/>
    <w:rsid w:val="0009095B"/>
    <w:rsid w:val="00093677"/>
    <w:rsid w:val="000A18E1"/>
    <w:rsid w:val="000A35ED"/>
    <w:rsid w:val="000A5CD4"/>
    <w:rsid w:val="000B1396"/>
    <w:rsid w:val="000B1691"/>
    <w:rsid w:val="000B1B48"/>
    <w:rsid w:val="000C7E36"/>
    <w:rsid w:val="000D242E"/>
    <w:rsid w:val="000D701F"/>
    <w:rsid w:val="000E2259"/>
    <w:rsid w:val="000F76B1"/>
    <w:rsid w:val="00103827"/>
    <w:rsid w:val="0010617E"/>
    <w:rsid w:val="001079E4"/>
    <w:rsid w:val="001136E0"/>
    <w:rsid w:val="00114820"/>
    <w:rsid w:val="001179FB"/>
    <w:rsid w:val="00122B5E"/>
    <w:rsid w:val="00123B15"/>
    <w:rsid w:val="0013274A"/>
    <w:rsid w:val="00134C84"/>
    <w:rsid w:val="00135F4D"/>
    <w:rsid w:val="00141BBD"/>
    <w:rsid w:val="0015199C"/>
    <w:rsid w:val="00151F33"/>
    <w:rsid w:val="001533E1"/>
    <w:rsid w:val="00160261"/>
    <w:rsid w:val="001624EE"/>
    <w:rsid w:val="00170E91"/>
    <w:rsid w:val="00173B38"/>
    <w:rsid w:val="00180B2F"/>
    <w:rsid w:val="0018755C"/>
    <w:rsid w:val="001A2857"/>
    <w:rsid w:val="001C73A3"/>
    <w:rsid w:val="001D0BE7"/>
    <w:rsid w:val="001D7664"/>
    <w:rsid w:val="001F7A45"/>
    <w:rsid w:val="002039E9"/>
    <w:rsid w:val="002135F1"/>
    <w:rsid w:val="00214392"/>
    <w:rsid w:val="002147A8"/>
    <w:rsid w:val="00216AB2"/>
    <w:rsid w:val="00222D6E"/>
    <w:rsid w:val="00226DC4"/>
    <w:rsid w:val="00232F44"/>
    <w:rsid w:val="002442C1"/>
    <w:rsid w:val="00246659"/>
    <w:rsid w:val="002479EE"/>
    <w:rsid w:val="00254E1F"/>
    <w:rsid w:val="00254FDE"/>
    <w:rsid w:val="00261474"/>
    <w:rsid w:val="00263175"/>
    <w:rsid w:val="002645E0"/>
    <w:rsid w:val="00265533"/>
    <w:rsid w:val="002740A7"/>
    <w:rsid w:val="00280CC3"/>
    <w:rsid w:val="0028757B"/>
    <w:rsid w:val="00291A0D"/>
    <w:rsid w:val="002B6D18"/>
    <w:rsid w:val="002C7FB0"/>
    <w:rsid w:val="002D530A"/>
    <w:rsid w:val="002D6C02"/>
    <w:rsid w:val="002D798E"/>
    <w:rsid w:val="002D7D9D"/>
    <w:rsid w:val="002E0F10"/>
    <w:rsid w:val="002E172F"/>
    <w:rsid w:val="002F575A"/>
    <w:rsid w:val="002F6A3A"/>
    <w:rsid w:val="0030751F"/>
    <w:rsid w:val="00315B35"/>
    <w:rsid w:val="00317455"/>
    <w:rsid w:val="00325A4A"/>
    <w:rsid w:val="003277BC"/>
    <w:rsid w:val="00330086"/>
    <w:rsid w:val="00344F5C"/>
    <w:rsid w:val="00352BB2"/>
    <w:rsid w:val="00354C89"/>
    <w:rsid w:val="003571B1"/>
    <w:rsid w:val="003643D9"/>
    <w:rsid w:val="003649A6"/>
    <w:rsid w:val="0036539D"/>
    <w:rsid w:val="003669F0"/>
    <w:rsid w:val="00370C18"/>
    <w:rsid w:val="003764FE"/>
    <w:rsid w:val="00377C97"/>
    <w:rsid w:val="003826BF"/>
    <w:rsid w:val="00390B55"/>
    <w:rsid w:val="003A4427"/>
    <w:rsid w:val="003A7AE7"/>
    <w:rsid w:val="003C2E52"/>
    <w:rsid w:val="003C3EA7"/>
    <w:rsid w:val="003D66B8"/>
    <w:rsid w:val="003E0D9C"/>
    <w:rsid w:val="003E4BED"/>
    <w:rsid w:val="003E53C5"/>
    <w:rsid w:val="003F2246"/>
    <w:rsid w:val="00413753"/>
    <w:rsid w:val="00415FFB"/>
    <w:rsid w:val="00422B8C"/>
    <w:rsid w:val="0042468D"/>
    <w:rsid w:val="004247D8"/>
    <w:rsid w:val="00425959"/>
    <w:rsid w:val="004312EC"/>
    <w:rsid w:val="00436E94"/>
    <w:rsid w:val="0043752F"/>
    <w:rsid w:val="00454A12"/>
    <w:rsid w:val="004650A2"/>
    <w:rsid w:val="0047225C"/>
    <w:rsid w:val="00472735"/>
    <w:rsid w:val="004841CD"/>
    <w:rsid w:val="00493A38"/>
    <w:rsid w:val="004946CC"/>
    <w:rsid w:val="004A40BC"/>
    <w:rsid w:val="004A461B"/>
    <w:rsid w:val="004B3707"/>
    <w:rsid w:val="004C1BBA"/>
    <w:rsid w:val="004C2A92"/>
    <w:rsid w:val="004C41E5"/>
    <w:rsid w:val="004C5DAA"/>
    <w:rsid w:val="004D7DF6"/>
    <w:rsid w:val="004F278C"/>
    <w:rsid w:val="004F3445"/>
    <w:rsid w:val="0050018F"/>
    <w:rsid w:val="00501050"/>
    <w:rsid w:val="00504AFC"/>
    <w:rsid w:val="00521033"/>
    <w:rsid w:val="00524318"/>
    <w:rsid w:val="00527AA7"/>
    <w:rsid w:val="005365B5"/>
    <w:rsid w:val="00536796"/>
    <w:rsid w:val="00542B73"/>
    <w:rsid w:val="00543B0D"/>
    <w:rsid w:val="0056319E"/>
    <w:rsid w:val="00564E4D"/>
    <w:rsid w:val="0058004D"/>
    <w:rsid w:val="00586D6E"/>
    <w:rsid w:val="00591918"/>
    <w:rsid w:val="005B059C"/>
    <w:rsid w:val="005B45A6"/>
    <w:rsid w:val="005B5416"/>
    <w:rsid w:val="005C0E77"/>
    <w:rsid w:val="005C293B"/>
    <w:rsid w:val="005C56AA"/>
    <w:rsid w:val="005C7289"/>
    <w:rsid w:val="005E1163"/>
    <w:rsid w:val="005E4BB7"/>
    <w:rsid w:val="005F1FC7"/>
    <w:rsid w:val="00605E96"/>
    <w:rsid w:val="00611F57"/>
    <w:rsid w:val="00615E3B"/>
    <w:rsid w:val="00622B34"/>
    <w:rsid w:val="00624891"/>
    <w:rsid w:val="00624AC3"/>
    <w:rsid w:val="0063221F"/>
    <w:rsid w:val="006375DE"/>
    <w:rsid w:val="006414AA"/>
    <w:rsid w:val="00665C4E"/>
    <w:rsid w:val="00666413"/>
    <w:rsid w:val="0067370C"/>
    <w:rsid w:val="00673F02"/>
    <w:rsid w:val="00686826"/>
    <w:rsid w:val="00690148"/>
    <w:rsid w:val="006A608E"/>
    <w:rsid w:val="006A77C9"/>
    <w:rsid w:val="006B062A"/>
    <w:rsid w:val="006B0640"/>
    <w:rsid w:val="006B0934"/>
    <w:rsid w:val="006B15BB"/>
    <w:rsid w:val="006D36A7"/>
    <w:rsid w:val="006D73A3"/>
    <w:rsid w:val="006F2020"/>
    <w:rsid w:val="00722992"/>
    <w:rsid w:val="00727D48"/>
    <w:rsid w:val="007308C6"/>
    <w:rsid w:val="00733BA7"/>
    <w:rsid w:val="00754DD4"/>
    <w:rsid w:val="007567B2"/>
    <w:rsid w:val="0075795A"/>
    <w:rsid w:val="00766FA0"/>
    <w:rsid w:val="00774792"/>
    <w:rsid w:val="007830CD"/>
    <w:rsid w:val="00797030"/>
    <w:rsid w:val="007A7D9B"/>
    <w:rsid w:val="007B2FD9"/>
    <w:rsid w:val="007B3540"/>
    <w:rsid w:val="007B721E"/>
    <w:rsid w:val="007C5455"/>
    <w:rsid w:val="007D1270"/>
    <w:rsid w:val="007D35F8"/>
    <w:rsid w:val="007D443C"/>
    <w:rsid w:val="007E0C85"/>
    <w:rsid w:val="007E42E2"/>
    <w:rsid w:val="007F3504"/>
    <w:rsid w:val="007F5594"/>
    <w:rsid w:val="007F59CF"/>
    <w:rsid w:val="00807CF0"/>
    <w:rsid w:val="008139DD"/>
    <w:rsid w:val="00816AA3"/>
    <w:rsid w:val="00820EF7"/>
    <w:rsid w:val="0083578D"/>
    <w:rsid w:val="0085140E"/>
    <w:rsid w:val="00854A0D"/>
    <w:rsid w:val="00860989"/>
    <w:rsid w:val="008610B7"/>
    <w:rsid w:val="008662CC"/>
    <w:rsid w:val="008709C1"/>
    <w:rsid w:val="00875945"/>
    <w:rsid w:val="00886EDC"/>
    <w:rsid w:val="008A3FE1"/>
    <w:rsid w:val="008B4A9B"/>
    <w:rsid w:val="008B57A0"/>
    <w:rsid w:val="008D00EE"/>
    <w:rsid w:val="008D272D"/>
    <w:rsid w:val="008E425C"/>
    <w:rsid w:val="008E56D4"/>
    <w:rsid w:val="008E7D6E"/>
    <w:rsid w:val="008F78C8"/>
    <w:rsid w:val="0090056F"/>
    <w:rsid w:val="00902B35"/>
    <w:rsid w:val="00904B0A"/>
    <w:rsid w:val="00912B41"/>
    <w:rsid w:val="009165DA"/>
    <w:rsid w:val="00917598"/>
    <w:rsid w:val="00920BF7"/>
    <w:rsid w:val="009315E7"/>
    <w:rsid w:val="00933CA1"/>
    <w:rsid w:val="0094219F"/>
    <w:rsid w:val="00955693"/>
    <w:rsid w:val="0095647E"/>
    <w:rsid w:val="009568C2"/>
    <w:rsid w:val="00957E81"/>
    <w:rsid w:val="00961376"/>
    <w:rsid w:val="0096415A"/>
    <w:rsid w:val="009643ED"/>
    <w:rsid w:val="009673F5"/>
    <w:rsid w:val="009802AE"/>
    <w:rsid w:val="00983898"/>
    <w:rsid w:val="0099356E"/>
    <w:rsid w:val="00996723"/>
    <w:rsid w:val="00996853"/>
    <w:rsid w:val="009A2BF2"/>
    <w:rsid w:val="009A5BF0"/>
    <w:rsid w:val="009B4592"/>
    <w:rsid w:val="009B4D13"/>
    <w:rsid w:val="009D3BF6"/>
    <w:rsid w:val="009E330D"/>
    <w:rsid w:val="009E389B"/>
    <w:rsid w:val="009F0338"/>
    <w:rsid w:val="009F3D03"/>
    <w:rsid w:val="009F70AA"/>
    <w:rsid w:val="00A00D16"/>
    <w:rsid w:val="00A10534"/>
    <w:rsid w:val="00A144E3"/>
    <w:rsid w:val="00A2439C"/>
    <w:rsid w:val="00A27192"/>
    <w:rsid w:val="00A32EE8"/>
    <w:rsid w:val="00A431EC"/>
    <w:rsid w:val="00A47F04"/>
    <w:rsid w:val="00A500BD"/>
    <w:rsid w:val="00A53FDE"/>
    <w:rsid w:val="00A630B1"/>
    <w:rsid w:val="00A670B2"/>
    <w:rsid w:val="00A72BCA"/>
    <w:rsid w:val="00A85748"/>
    <w:rsid w:val="00A9137C"/>
    <w:rsid w:val="00A96A12"/>
    <w:rsid w:val="00AA3084"/>
    <w:rsid w:val="00AA5AE3"/>
    <w:rsid w:val="00AA6119"/>
    <w:rsid w:val="00AB35A8"/>
    <w:rsid w:val="00AB4E1D"/>
    <w:rsid w:val="00AB6971"/>
    <w:rsid w:val="00AE066D"/>
    <w:rsid w:val="00AE2BD2"/>
    <w:rsid w:val="00AE40F1"/>
    <w:rsid w:val="00AF536C"/>
    <w:rsid w:val="00AF654E"/>
    <w:rsid w:val="00AF7345"/>
    <w:rsid w:val="00B0177A"/>
    <w:rsid w:val="00B0452C"/>
    <w:rsid w:val="00B04B1E"/>
    <w:rsid w:val="00B1198A"/>
    <w:rsid w:val="00B11FE8"/>
    <w:rsid w:val="00B147BB"/>
    <w:rsid w:val="00B22571"/>
    <w:rsid w:val="00B22839"/>
    <w:rsid w:val="00B263AC"/>
    <w:rsid w:val="00B27DE0"/>
    <w:rsid w:val="00B33AF2"/>
    <w:rsid w:val="00B35581"/>
    <w:rsid w:val="00B40046"/>
    <w:rsid w:val="00B46AAC"/>
    <w:rsid w:val="00B571FA"/>
    <w:rsid w:val="00B71D87"/>
    <w:rsid w:val="00B7344D"/>
    <w:rsid w:val="00B947A1"/>
    <w:rsid w:val="00BA0528"/>
    <w:rsid w:val="00BA4FCA"/>
    <w:rsid w:val="00BA6677"/>
    <w:rsid w:val="00BB0B5E"/>
    <w:rsid w:val="00BC08D3"/>
    <w:rsid w:val="00BC0F2F"/>
    <w:rsid w:val="00BC212D"/>
    <w:rsid w:val="00BC3631"/>
    <w:rsid w:val="00BC5493"/>
    <w:rsid w:val="00BD28E6"/>
    <w:rsid w:val="00BE66A2"/>
    <w:rsid w:val="00BF3330"/>
    <w:rsid w:val="00BF6E62"/>
    <w:rsid w:val="00C005A1"/>
    <w:rsid w:val="00C23AED"/>
    <w:rsid w:val="00C275C7"/>
    <w:rsid w:val="00C42E43"/>
    <w:rsid w:val="00C4688F"/>
    <w:rsid w:val="00C50CE1"/>
    <w:rsid w:val="00C522A1"/>
    <w:rsid w:val="00C82228"/>
    <w:rsid w:val="00C84961"/>
    <w:rsid w:val="00C853B8"/>
    <w:rsid w:val="00C9745F"/>
    <w:rsid w:val="00CB31D0"/>
    <w:rsid w:val="00CB7266"/>
    <w:rsid w:val="00CC1B83"/>
    <w:rsid w:val="00CD0BF2"/>
    <w:rsid w:val="00CE097D"/>
    <w:rsid w:val="00CE2ACE"/>
    <w:rsid w:val="00D04B3A"/>
    <w:rsid w:val="00D05DA8"/>
    <w:rsid w:val="00D1212B"/>
    <w:rsid w:val="00D15E4E"/>
    <w:rsid w:val="00D2120B"/>
    <w:rsid w:val="00D228F6"/>
    <w:rsid w:val="00D26539"/>
    <w:rsid w:val="00D40082"/>
    <w:rsid w:val="00D418EF"/>
    <w:rsid w:val="00D42E26"/>
    <w:rsid w:val="00D448C7"/>
    <w:rsid w:val="00D46FA2"/>
    <w:rsid w:val="00D505C5"/>
    <w:rsid w:val="00D50BA3"/>
    <w:rsid w:val="00D5232A"/>
    <w:rsid w:val="00D528C9"/>
    <w:rsid w:val="00D55362"/>
    <w:rsid w:val="00D56342"/>
    <w:rsid w:val="00D56928"/>
    <w:rsid w:val="00D7570D"/>
    <w:rsid w:val="00D767A0"/>
    <w:rsid w:val="00D966AB"/>
    <w:rsid w:val="00D97140"/>
    <w:rsid w:val="00DA7FF6"/>
    <w:rsid w:val="00DC0E7E"/>
    <w:rsid w:val="00DE4E46"/>
    <w:rsid w:val="00DE5F6A"/>
    <w:rsid w:val="00DE6892"/>
    <w:rsid w:val="00DE71F2"/>
    <w:rsid w:val="00DF245B"/>
    <w:rsid w:val="00DF5DCA"/>
    <w:rsid w:val="00E00473"/>
    <w:rsid w:val="00E00A3A"/>
    <w:rsid w:val="00E0128C"/>
    <w:rsid w:val="00E203C8"/>
    <w:rsid w:val="00E2299F"/>
    <w:rsid w:val="00E23A00"/>
    <w:rsid w:val="00E31092"/>
    <w:rsid w:val="00E5293F"/>
    <w:rsid w:val="00E66453"/>
    <w:rsid w:val="00E702C9"/>
    <w:rsid w:val="00E757E8"/>
    <w:rsid w:val="00E770D7"/>
    <w:rsid w:val="00EA32AE"/>
    <w:rsid w:val="00EA39F4"/>
    <w:rsid w:val="00EA5C65"/>
    <w:rsid w:val="00EB0690"/>
    <w:rsid w:val="00EC7A11"/>
    <w:rsid w:val="00ED7EC3"/>
    <w:rsid w:val="00EE7BF1"/>
    <w:rsid w:val="00EE7C4E"/>
    <w:rsid w:val="00EF0572"/>
    <w:rsid w:val="00EF65FA"/>
    <w:rsid w:val="00F10C67"/>
    <w:rsid w:val="00F21FC2"/>
    <w:rsid w:val="00F24445"/>
    <w:rsid w:val="00F3113D"/>
    <w:rsid w:val="00F35CAA"/>
    <w:rsid w:val="00F35EB1"/>
    <w:rsid w:val="00F40843"/>
    <w:rsid w:val="00F41BB7"/>
    <w:rsid w:val="00F50AA7"/>
    <w:rsid w:val="00F56135"/>
    <w:rsid w:val="00F61AEE"/>
    <w:rsid w:val="00F72551"/>
    <w:rsid w:val="00F74277"/>
    <w:rsid w:val="00F77628"/>
    <w:rsid w:val="00F8391C"/>
    <w:rsid w:val="00F90809"/>
    <w:rsid w:val="00F921C1"/>
    <w:rsid w:val="00F928C4"/>
    <w:rsid w:val="00F95A79"/>
    <w:rsid w:val="00FA489B"/>
    <w:rsid w:val="00FB1A75"/>
    <w:rsid w:val="00FB5CE3"/>
    <w:rsid w:val="00FC6AE8"/>
    <w:rsid w:val="00FD5499"/>
    <w:rsid w:val="00FF03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26E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5A8"/>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AB"/>
    <w:rPr>
      <w:rFonts w:ascii="Segoe UI" w:hAnsi="Segoe UI" w:cs="Segoe UI"/>
      <w:sz w:val="18"/>
      <w:szCs w:val="18"/>
    </w:rPr>
  </w:style>
  <w:style w:type="character" w:styleId="CommentReference">
    <w:name w:val="annotation reference"/>
    <w:basedOn w:val="DefaultParagraphFont"/>
    <w:uiPriority w:val="99"/>
    <w:semiHidden/>
    <w:unhideWhenUsed/>
    <w:rsid w:val="007A7D9B"/>
    <w:rPr>
      <w:sz w:val="16"/>
      <w:szCs w:val="16"/>
    </w:rPr>
  </w:style>
  <w:style w:type="paragraph" w:styleId="CommentText">
    <w:name w:val="annotation text"/>
    <w:basedOn w:val="Normal"/>
    <w:link w:val="CommentTextChar"/>
    <w:uiPriority w:val="99"/>
    <w:unhideWhenUsed/>
    <w:rsid w:val="007A7D9B"/>
    <w:pPr>
      <w:spacing w:line="240" w:lineRule="auto"/>
    </w:pPr>
    <w:rPr>
      <w:sz w:val="20"/>
      <w:szCs w:val="20"/>
    </w:rPr>
  </w:style>
  <w:style w:type="character" w:customStyle="1" w:styleId="CommentTextChar">
    <w:name w:val="Comment Text Char"/>
    <w:basedOn w:val="DefaultParagraphFont"/>
    <w:link w:val="CommentText"/>
    <w:uiPriority w:val="99"/>
    <w:rsid w:val="007A7D9B"/>
    <w:rPr>
      <w:sz w:val="20"/>
      <w:szCs w:val="20"/>
    </w:rPr>
  </w:style>
  <w:style w:type="paragraph" w:styleId="CommentSubject">
    <w:name w:val="annotation subject"/>
    <w:basedOn w:val="CommentText"/>
    <w:next w:val="CommentText"/>
    <w:link w:val="CommentSubjectChar"/>
    <w:uiPriority w:val="99"/>
    <w:semiHidden/>
    <w:unhideWhenUsed/>
    <w:rsid w:val="007A7D9B"/>
    <w:rPr>
      <w:b/>
      <w:bCs/>
    </w:rPr>
  </w:style>
  <w:style w:type="character" w:customStyle="1" w:styleId="CommentSubjectChar">
    <w:name w:val="Comment Subject Char"/>
    <w:basedOn w:val="CommentTextChar"/>
    <w:link w:val="CommentSubject"/>
    <w:uiPriority w:val="99"/>
    <w:semiHidden/>
    <w:rsid w:val="007A7D9B"/>
    <w:rPr>
      <w:b/>
      <w:bCs/>
      <w:sz w:val="20"/>
      <w:szCs w:val="20"/>
    </w:rPr>
  </w:style>
  <w:style w:type="paragraph" w:styleId="Header">
    <w:name w:val="header"/>
    <w:basedOn w:val="Normal"/>
    <w:link w:val="HeaderChar"/>
    <w:uiPriority w:val="99"/>
    <w:unhideWhenUsed/>
    <w:rsid w:val="009F0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338"/>
  </w:style>
  <w:style w:type="paragraph" w:styleId="Footer">
    <w:name w:val="footer"/>
    <w:basedOn w:val="Normal"/>
    <w:link w:val="FooterChar"/>
    <w:uiPriority w:val="99"/>
    <w:unhideWhenUsed/>
    <w:rsid w:val="009F0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338"/>
  </w:style>
  <w:style w:type="character" w:styleId="Hyperlink">
    <w:name w:val="Hyperlink"/>
    <w:basedOn w:val="DefaultParagraphFont"/>
    <w:uiPriority w:val="99"/>
    <w:unhideWhenUsed/>
    <w:rsid w:val="00D448C7"/>
    <w:rPr>
      <w:color w:val="0563C1" w:themeColor="hyperlink"/>
      <w:u w:val="single"/>
    </w:rPr>
  </w:style>
  <w:style w:type="table" w:styleId="TableGrid">
    <w:name w:val="Table Grid"/>
    <w:basedOn w:val="TableNormal"/>
    <w:uiPriority w:val="39"/>
    <w:rsid w:val="007D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E2259"/>
    <w:pPr>
      <w:tabs>
        <w:tab w:val="num" w:pos="643"/>
      </w:tabs>
      <w:spacing w:after="210" w:line="276" w:lineRule="auto"/>
      <w:ind w:left="720" w:hanging="360"/>
      <w:contextualSpacing/>
    </w:pPr>
    <w:rPr>
      <w:rFonts w:cs="Times New Roman"/>
      <w:color w:val="000000" w:themeColor="text1"/>
      <w:sz w:val="21"/>
      <w:szCs w:val="21"/>
    </w:rPr>
  </w:style>
  <w:style w:type="paragraph" w:styleId="FootnoteText">
    <w:name w:val="footnote text"/>
    <w:basedOn w:val="Normal"/>
    <w:link w:val="FootnoteTextChar"/>
    <w:uiPriority w:val="99"/>
    <w:unhideWhenUsed/>
    <w:rsid w:val="006414AA"/>
    <w:pPr>
      <w:numPr>
        <w:numId w:val="10"/>
      </w:numPr>
      <w:spacing w:after="210" w:line="276" w:lineRule="auto"/>
    </w:pPr>
    <w:rPr>
      <w:rFonts w:cs="Times New Roman"/>
      <w:color w:val="000000" w:themeColor="text1"/>
      <w:sz w:val="20"/>
      <w:szCs w:val="20"/>
    </w:rPr>
  </w:style>
  <w:style w:type="character" w:customStyle="1" w:styleId="FootnoteTextChar">
    <w:name w:val="Footnote Text Char"/>
    <w:basedOn w:val="DefaultParagraphFont"/>
    <w:link w:val="FootnoteText"/>
    <w:uiPriority w:val="99"/>
    <w:rsid w:val="006414AA"/>
    <w:rPr>
      <w:rFonts w:cs="Times New Roman"/>
      <w:color w:val="000000" w:themeColor="text1"/>
      <w:sz w:val="20"/>
      <w:szCs w:val="20"/>
    </w:rPr>
  </w:style>
  <w:style w:type="character" w:styleId="FootnoteReference">
    <w:name w:val="footnote reference"/>
    <w:uiPriority w:val="99"/>
    <w:semiHidden/>
    <w:unhideWhenUsed/>
    <w:rsid w:val="006414AA"/>
    <w:rPr>
      <w:vertAlign w:val="superscript"/>
    </w:rPr>
  </w:style>
  <w:style w:type="character" w:customStyle="1" w:styleId="Heading1Char">
    <w:name w:val="Heading 1 Char"/>
    <w:basedOn w:val="DefaultParagraphFont"/>
    <w:link w:val="Heading1"/>
    <w:uiPriority w:val="9"/>
    <w:rsid w:val="00AB35A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F2964-33C6-44B5-BC35-C8680AB6A1B3}">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5BE0C4D-7FBC-4989-8DCD-2620BAF32850}">
  <ds:schemaRefs>
    <ds:schemaRef ds:uri="http://schemas.openxmlformats.org/officeDocument/2006/bibliography"/>
  </ds:schemaRefs>
</ds:datastoreItem>
</file>

<file path=customXml/itemProps3.xml><?xml version="1.0" encoding="utf-8"?>
<ds:datastoreItem xmlns:ds="http://schemas.openxmlformats.org/officeDocument/2006/customXml" ds:itemID="{FC8C8A0B-010A-464D-8604-C03835678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2834A-B4B3-48E5-988D-07B4269A3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1950</Words>
  <Characters>11721</Characters>
  <Application>Microsoft Office Word</Application>
  <DocSecurity>0</DocSecurity>
  <Lines>332</Lines>
  <Paragraphs>57</Paragraphs>
  <ScaleCrop>false</ScaleCrop>
  <HeadingPairs>
    <vt:vector size="2" baseType="variant">
      <vt:variant>
        <vt:lpstr>Title</vt:lpstr>
      </vt:variant>
      <vt:variant>
        <vt:i4>1</vt:i4>
      </vt:variant>
    </vt:vector>
  </HeadingPairs>
  <TitlesOfParts>
    <vt:vector size="1" baseType="lpstr">
      <vt:lpstr>Church Partnership Program Phase 3 – Mid Term Review Management Response</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 Bung Waintaim (WBW) Program Review - Management Response</dc:title>
  <dc:subject/>
  <dc:creator/>
  <cp:keywords> [SEC=UNOFFICIAL]</cp:keywords>
  <dc:description/>
  <cp:lastModifiedBy/>
  <cp:revision>1</cp:revision>
  <dcterms:created xsi:type="dcterms:W3CDTF">2021-12-23T02:25:00Z</dcterms:created>
  <dcterms:modified xsi:type="dcterms:W3CDTF">2022-01-05T22:43:00Z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4b77669c-e023-4737-8915-9f34b7c7aed4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UNOFFICIAL</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InsertionValue">
    <vt:lpwstr>UNOFFICIAL</vt:lpwstr>
  </property>
  <property fmtid="{D5CDD505-2E9C-101B-9397-08002B2CF9AE}" pid="12" name="PM_Originating_FileId">
    <vt:lpwstr>0550DB76263D40368614FDDF5C50109D</vt:lpwstr>
  </property>
  <property fmtid="{D5CDD505-2E9C-101B-9397-08002B2CF9AE}" pid="13" name="PM_ProtectiveMarkingValue_Footer">
    <vt:lpwstr>UNOFFICIAL</vt:lpwstr>
  </property>
  <property fmtid="{D5CDD505-2E9C-101B-9397-08002B2CF9AE}" pid="14" name="PM_Originator_Hash_SHA1">
    <vt:lpwstr>D9F6E5C82DFAF7AB6E3D596D48DD43C72EDFDAB4</vt:lpwstr>
  </property>
  <property fmtid="{D5CDD505-2E9C-101B-9397-08002B2CF9AE}" pid="15" name="PM_OriginationTimeStamp">
    <vt:lpwstr>2022-01-05T22:35:43Z</vt:lpwstr>
  </property>
  <property fmtid="{D5CDD505-2E9C-101B-9397-08002B2CF9AE}" pid="16" name="PM_ProtectiveMarkingValue_Header">
    <vt:lpwstr>UNOFFICIAL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048008BAD03F50513083A0243A70997C</vt:lpwstr>
  </property>
  <property fmtid="{D5CDD505-2E9C-101B-9397-08002B2CF9AE}" pid="24" name="PM_Hash_Salt">
    <vt:lpwstr>9FBA38B4E5A18104DA3F73CA992957B5</vt:lpwstr>
  </property>
  <property fmtid="{D5CDD505-2E9C-101B-9397-08002B2CF9AE}" pid="25" name="PM_Hash_SHA1">
    <vt:lpwstr>9692DFF569C17A2815A1A2356F2B03292C4F61F2</vt:lpwstr>
  </property>
  <property fmtid="{D5CDD505-2E9C-101B-9397-08002B2CF9AE}" pid="26" name="PM_SecurityClassification_Prev">
    <vt:lpwstr>UNOFFICIAL</vt:lpwstr>
  </property>
  <property fmtid="{D5CDD505-2E9C-101B-9397-08002B2CF9AE}" pid="27" name="PM_Qualifier_Prev">
    <vt:lpwstr/>
  </property>
</Properties>
</file>